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00" w:line="288" w:lineRule="auto"/>
        <w:outlineLvl w:val="0"/>
        <w:rPr>
          <w:rFonts w:ascii="Times New Roman" w:hAnsi="Times New Roman" w:cs="Times New Roman"/>
          <w:sz w:val="24"/>
          <w:szCs w:val="24"/>
        </w:rPr>
      </w:pPr>
    </w:p>
    <w:p>
      <w:pPr>
        <w:widowControl w:val="0"/>
        <w:adjustRightInd w:val="0"/>
        <w:snapToGrid w:val="0"/>
        <w:spacing w:before="200" w:line="288" w:lineRule="auto"/>
        <w:jc w:val="center"/>
        <w:outlineLvl w:val="1"/>
        <w:rPr>
          <w:rFonts w:ascii="Times New Roman" w:hAnsi="Times New Roman" w:cs="Times New Roman"/>
          <w:b/>
          <w:kern w:val="2"/>
          <w:sz w:val="24"/>
          <w:szCs w:val="24"/>
        </w:rPr>
      </w:pPr>
      <w:bookmarkStart w:id="0" w:name="_Hlk119944547"/>
      <w:bookmarkStart w:id="1" w:name="_Hlk119947628"/>
      <w:r>
        <w:rPr>
          <w:rFonts w:ascii="Times New Roman" w:hAnsi="Times New Roman" w:cs="Times New Roman"/>
          <w:b/>
          <w:kern w:val="2"/>
          <w:sz w:val="24"/>
          <w:szCs w:val="24"/>
        </w:rPr>
        <w:t>Detailed Rules of Polypropylene Futures of Dalian Commodity Exchange</w:t>
      </w:r>
    </w:p>
    <w:bookmarkEnd w:id="0"/>
    <w:p>
      <w:pPr>
        <w:widowControl w:val="0"/>
        <w:adjustRightInd w:val="0"/>
        <w:snapToGrid w:val="0"/>
        <w:spacing w:before="200" w:line="288"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Chapter I General Provisions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Detailed Rules of Polypropylene Futures of Dalian Commodity Exchange (the "</w:t>
      </w:r>
      <w:r>
        <w:rPr>
          <w:rFonts w:ascii="Times New Roman" w:hAnsi="Times New Roman" w:cs="Times New Roman"/>
          <w:b/>
          <w:kern w:val="2"/>
          <w:sz w:val="24"/>
          <w:szCs w:val="24"/>
        </w:rPr>
        <w:t>Detailed Rules</w:t>
      </w:r>
      <w:r>
        <w:rPr>
          <w:rFonts w:ascii="Times New Roman" w:hAnsi="Times New Roman" w:cs="Times New Roman"/>
          <w:kern w:val="2"/>
          <w:sz w:val="24"/>
          <w:szCs w:val="24"/>
        </w:rPr>
        <w:t xml:space="preserve">") are formulated pursuant to the </w:t>
      </w:r>
      <w:r>
        <w:rPr>
          <w:rFonts w:ascii="Times New Roman" w:hAnsi="Times New Roman" w:cs="Times New Roman"/>
          <w:i/>
          <w:kern w:val="2"/>
          <w:sz w:val="24"/>
          <w:szCs w:val="24"/>
        </w:rPr>
        <w:t>Trading Rules of Dalian Commodity Exchange</w:t>
      </w:r>
      <w:r>
        <w:rPr>
          <w:rFonts w:ascii="Times New Roman" w:hAnsi="Times New Roman" w:cs="Times New Roman"/>
          <w:kern w:val="2"/>
          <w:sz w:val="24"/>
          <w:szCs w:val="24"/>
        </w:rPr>
        <w:t xml:space="preserve"> and the </w:t>
      </w:r>
      <w:r>
        <w:rPr>
          <w:rFonts w:ascii="Times New Roman" w:hAnsi="Times New Roman" w:cs="Times New Roman"/>
          <w:i/>
          <w:kern w:val="2"/>
          <w:sz w:val="24"/>
          <w:szCs w:val="24"/>
        </w:rPr>
        <w:t>Polypropylene Futures Contract of Dalian Commodity Exchange</w:t>
      </w:r>
      <w:r>
        <w:rPr>
          <w:rFonts w:ascii="Times New Roman" w:hAnsi="Times New Roman" w:cs="Times New Roman"/>
          <w:kern w:val="2"/>
          <w:sz w:val="24"/>
          <w:szCs w:val="24"/>
        </w:rPr>
        <w:t xml:space="preserve"> for the purpose of standardizing the trading of polypropylene futures contracts.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Dalian Commodity Exchange (the "</w:t>
      </w:r>
      <w:r>
        <w:rPr>
          <w:rFonts w:ascii="Times New Roman" w:hAnsi="Times New Roman" w:cs="Times New Roman"/>
          <w:b/>
          <w:kern w:val="2"/>
          <w:sz w:val="24"/>
          <w:szCs w:val="24"/>
        </w:rPr>
        <w:t>Exchange</w:t>
      </w:r>
      <w:r>
        <w:rPr>
          <w:rFonts w:ascii="Times New Roman" w:hAnsi="Times New Roman" w:cs="Times New Roman"/>
          <w:kern w:val="2"/>
          <w:sz w:val="24"/>
          <w:szCs w:val="24"/>
        </w:rPr>
        <w:t>"), its Members, the clients, the designated delivery warehouses, the designated quality inspection agencies, the designated futures margin depositary banks and other participants in the futures market shall comply with the Detailed Rules.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Where it is not provided in the Detailed Rules, the relevant rules of the Exchange shall apply.</w:t>
      </w:r>
    </w:p>
    <w:p>
      <w:pPr>
        <w:widowControl w:val="0"/>
        <w:adjustRightInd w:val="0"/>
        <w:snapToGrid w:val="0"/>
        <w:spacing w:before="200" w:line="288"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Chapter II  Major Terms of the Contract and Relevant Parameters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quality standards for and the packaging requirements for the standard deliverable products under the polypropylene futures contracts shall be detailed in the Polypropylene Delivery Quality Standards of Dalian Commodity Exchange (F/DCE PP001-2014) as Annex 1 attached hereto.</w:t>
      </w:r>
    </w:p>
    <w:p>
      <w:pPr>
        <w:widowControl w:val="0"/>
        <w:adjustRightInd w:val="0"/>
        <w:snapToGrid w:val="0"/>
        <w:spacing w:before="200" w:line="288" w:lineRule="auto"/>
        <w:ind w:left="1270" w:leftChars="605" w:firstLine="4" w:firstLineChars="2"/>
        <w:rPr>
          <w:rFonts w:ascii="Times New Roman" w:hAnsi="Times New Roman" w:cs="Times New Roman"/>
          <w:kern w:val="2"/>
          <w:sz w:val="24"/>
          <w:szCs w:val="24"/>
        </w:rPr>
      </w:pPr>
      <w:r>
        <w:rPr>
          <w:rFonts w:ascii="Times New Roman" w:hAnsi="Times New Roman" w:cs="Times New Roman"/>
          <w:kern w:val="2"/>
          <w:sz w:val="24"/>
          <w:szCs w:val="24"/>
        </w:rPr>
        <w:t>Delivery shall be prohibited with respect to the non-conforming products identified by the original manufacturer and the polypropylene manufactured by taking the recovered materials as the raw materials.</w:t>
      </w:r>
    </w:p>
    <w:p>
      <w:pPr>
        <w:widowControl w:val="0"/>
        <w:adjustRightInd w:val="0"/>
        <w:snapToGrid w:val="0"/>
        <w:spacing w:before="200" w:line="288" w:lineRule="auto"/>
        <w:ind w:left="1259"/>
        <w:rPr>
          <w:rFonts w:ascii="Times New Roman" w:hAnsi="Times New Roman" w:cs="Times New Roman"/>
          <w:dstrike/>
          <w:kern w:val="2"/>
          <w:sz w:val="24"/>
          <w:szCs w:val="24"/>
        </w:rPr>
      </w:pPr>
      <w:r>
        <w:rPr>
          <w:rFonts w:ascii="Times New Roman" w:hAnsi="Times New Roman" w:cs="Times New Roman"/>
          <w:kern w:val="2"/>
          <w:sz w:val="24"/>
          <w:szCs w:val="24"/>
        </w:rPr>
        <w:t>The delivery products of the polypropylene shall be those of the delivery brands announced by the Exchange. The rules for management of delivery brands</w:t>
      </w:r>
      <w:r>
        <w:rPr>
          <w:rFonts w:hint="eastAsia" w:ascii="Times New Roman" w:hAnsi="Times New Roman" w:cs="Times New Roman"/>
          <w:kern w:val="2"/>
          <w:sz w:val="24"/>
          <w:szCs w:val="24"/>
        </w:rPr>
        <w:t xml:space="preserve"> </w:t>
      </w:r>
      <w:r>
        <w:rPr>
          <w:rFonts w:ascii="Times New Roman" w:hAnsi="Times New Roman" w:cs="Times New Roman"/>
          <w:kern w:val="2"/>
          <w:sz w:val="24"/>
          <w:szCs w:val="24"/>
        </w:rPr>
        <w:t xml:space="preserve">will be separately prescribed by the Exchange. The delivery brands, the relevant </w:t>
      </w:r>
      <w:r>
        <w:rPr>
          <w:rFonts w:hint="eastAsia" w:ascii="Times New Roman" w:hAnsi="Times New Roman" w:cs="Times New Roman"/>
          <w:sz w:val="24"/>
          <w:szCs w:val="24"/>
        </w:rPr>
        <w:t>enterprises</w:t>
      </w:r>
      <w:r>
        <w:rPr>
          <w:rFonts w:ascii="Times New Roman" w:hAnsi="Times New Roman" w:cs="Times New Roman"/>
          <w:kern w:val="2"/>
          <w:sz w:val="24"/>
          <w:szCs w:val="24"/>
        </w:rPr>
        <w:t xml:space="preserve"> and the brand premiums and/or discounts will be separately published by the Exchange. </w:t>
      </w:r>
    </w:p>
    <w:p>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Price difference of the brand premiums and/or discounts of the polypropylene futures contract shall be settled between the owner and the designated delivery warehouse.</w:t>
      </w:r>
    </w:p>
    <w:p>
      <w:pPr>
        <w:widowControl w:val="0"/>
        <w:adjustRightInd w:val="0"/>
        <w:snapToGrid w:val="0"/>
        <w:spacing w:before="200" w:line="288" w:lineRule="auto"/>
        <w:ind w:left="1275" w:leftChars="607"/>
        <w:rPr>
          <w:rFonts w:ascii="Times New Roman" w:hAnsi="Times New Roman" w:cs="Times New Roman"/>
          <w:kern w:val="2"/>
          <w:sz w:val="24"/>
          <w:szCs w:val="24"/>
        </w:rPr>
      </w:pPr>
      <w:r>
        <w:rPr>
          <w:rFonts w:ascii="Times New Roman" w:hAnsi="Times New Roman" w:eastAsia="仿宋_GB2312" w:cs="Times New Roman"/>
          <w:kern w:val="2"/>
          <w:sz w:val="24"/>
          <w:szCs w:val="24"/>
        </w:rPr>
        <w:t xml:space="preserve">If the owner is able to provide </w:t>
      </w:r>
      <w:r>
        <w:rPr>
          <w:rFonts w:ascii="Times New Roman" w:hAnsi="Times New Roman" w:cs="Times New Roman"/>
          <w:sz w:val="24"/>
          <w:szCs w:val="24"/>
        </w:rPr>
        <w:t xml:space="preserve">relevant certificates to prove the product quality </w:t>
      </w:r>
      <w:r>
        <w:rPr>
          <w:rFonts w:hint="eastAsia" w:ascii="Times New Roman" w:hAnsi="Times New Roman" w:cs="Times New Roman"/>
          <w:sz w:val="24"/>
          <w:szCs w:val="24"/>
        </w:rPr>
        <w:t>conforms</w:t>
      </w:r>
      <w:r>
        <w:rPr>
          <w:rFonts w:ascii="Times New Roman" w:hAnsi="Times New Roman" w:cs="Times New Roman"/>
          <w:sz w:val="24"/>
          <w:szCs w:val="24"/>
        </w:rPr>
        <w:t xml:space="preserve"> </w:t>
      </w:r>
      <w:r>
        <w:rPr>
          <w:rFonts w:hint="eastAsia" w:ascii="Times New Roman" w:hAnsi="Times New Roman" w:cs="Times New Roman"/>
          <w:sz w:val="24"/>
          <w:szCs w:val="24"/>
        </w:rPr>
        <w:t>to</w:t>
      </w:r>
      <w:r>
        <w:rPr>
          <w:rFonts w:ascii="Times New Roman" w:hAnsi="Times New Roman" w:cs="Times New Roman"/>
          <w:sz w:val="24"/>
          <w:szCs w:val="24"/>
        </w:rPr>
        <w:t xml:space="preserve"> the futures delivery quality standards</w:t>
      </w:r>
      <w:r>
        <w:rPr>
          <w:rFonts w:ascii="Times New Roman" w:hAnsi="Times New Roman" w:eastAsia="仿宋_GB2312" w:cs="Times New Roman"/>
          <w:kern w:val="2"/>
          <w:sz w:val="24"/>
          <w:szCs w:val="24"/>
        </w:rPr>
        <w:t xml:space="preserve"> issued by the </w:t>
      </w:r>
      <w:r>
        <w:rPr>
          <w:rFonts w:ascii="Times New Roman" w:hAnsi="Times New Roman" w:cs="Times New Roman"/>
          <w:sz w:val="24"/>
          <w:szCs w:val="24"/>
        </w:rPr>
        <w:t>enterprise applying for the deliver</w:t>
      </w:r>
      <w:r>
        <w:rPr>
          <w:rFonts w:hint="eastAsia" w:ascii="Times New Roman" w:hAnsi="Times New Roman" w:cs="Times New Roman"/>
          <w:sz w:val="24"/>
          <w:szCs w:val="24"/>
        </w:rPr>
        <w:t>y</w:t>
      </w:r>
      <w:r>
        <w:rPr>
          <w:rFonts w:ascii="Times New Roman" w:hAnsi="Times New Roman" w:cs="Times New Roman"/>
          <w:sz w:val="24"/>
          <w:szCs w:val="24"/>
        </w:rPr>
        <w:t xml:space="preserve"> brand qualification</w:t>
      </w:r>
      <w:r>
        <w:rPr>
          <w:rFonts w:ascii="Times New Roman" w:hAnsi="Times New Roman" w:eastAsia="仿宋_GB2312" w:cs="Times New Roman"/>
          <w:kern w:val="2"/>
          <w:sz w:val="24"/>
          <w:szCs w:val="24"/>
        </w:rPr>
        <w:t xml:space="preserve">, </w:t>
      </w:r>
      <w:r>
        <w:rPr>
          <w:rFonts w:ascii="Times New Roman" w:hAnsi="Times New Roman" w:cs="Times New Roman"/>
          <w:kern w:val="2"/>
          <w:sz w:val="24"/>
          <w:szCs w:val="24"/>
        </w:rPr>
        <w:t>polypropylene</w:t>
      </w:r>
      <w:r>
        <w:rPr>
          <w:rFonts w:ascii="Times New Roman" w:hAnsi="Times New Roman" w:eastAsia="仿宋_GB2312" w:cs="Times New Roman"/>
          <w:kern w:val="2"/>
          <w:sz w:val="24"/>
          <w:szCs w:val="24"/>
        </w:rPr>
        <w:t xml:space="preserve"> products of </w:t>
      </w:r>
      <w:r>
        <w:rPr>
          <w:rFonts w:hint="eastAsia" w:ascii="Times New Roman" w:hAnsi="Times New Roman" w:eastAsia="仿宋_GB2312" w:cs="Times New Roman"/>
          <w:kern w:val="2"/>
          <w:sz w:val="24"/>
          <w:szCs w:val="24"/>
        </w:rPr>
        <w:t>the</w:t>
      </w:r>
      <w:r>
        <w:rPr>
          <w:rFonts w:ascii="Times New Roman" w:hAnsi="Times New Roman" w:eastAsia="仿宋_GB2312" w:cs="Times New Roman"/>
          <w:kern w:val="2"/>
          <w:sz w:val="24"/>
          <w:szCs w:val="24"/>
        </w:rPr>
        <w:t xml:space="preserve"> </w:t>
      </w:r>
      <w:r>
        <w:rPr>
          <w:rFonts w:hint="eastAsia" w:ascii="Times New Roman" w:hAnsi="Times New Roman" w:eastAsia="仿宋_GB2312" w:cs="Times New Roman"/>
          <w:kern w:val="2"/>
          <w:sz w:val="24"/>
          <w:szCs w:val="24"/>
        </w:rPr>
        <w:t>delivery</w:t>
      </w:r>
      <w:r>
        <w:rPr>
          <w:rFonts w:ascii="Times New Roman" w:hAnsi="Times New Roman" w:eastAsia="仿宋_GB2312" w:cs="Times New Roman"/>
          <w:kern w:val="2"/>
          <w:sz w:val="24"/>
          <w:szCs w:val="24"/>
        </w:rPr>
        <w:t xml:space="preserve"> brand may be exempted from </w:t>
      </w:r>
      <w:r>
        <w:rPr>
          <w:rFonts w:hint="eastAsia" w:ascii="Times New Roman" w:hAnsi="Times New Roman" w:eastAsia="仿宋_GB2312" w:cs="Times New Roman"/>
          <w:kern w:val="2"/>
          <w:sz w:val="24"/>
          <w:szCs w:val="24"/>
        </w:rPr>
        <w:t>loading</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in</w:t>
      </w:r>
      <w:r>
        <w:rPr>
          <w:rFonts w:ascii="Times New Roman" w:hAnsi="Times New Roman" w:eastAsia="仿宋_GB2312" w:cs="Times New Roman"/>
          <w:kern w:val="2"/>
          <w:sz w:val="24"/>
          <w:szCs w:val="24"/>
        </w:rPr>
        <w:t xml:space="preserve"> quality inspection.  </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polypropylene futures contract shall take the form of physical delivery.</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delivery warehouses designated for polypropylene shall be divided into the benchmark delivery warehouses and the non-benchmark delivery warehouses (detailed in the</w:t>
      </w:r>
      <w:r>
        <w:rPr>
          <w:rFonts w:ascii="Times New Roman" w:hAnsi="Times New Roman" w:cs="Times New Roman"/>
          <w:i/>
          <w:kern w:val="2"/>
          <w:sz w:val="24"/>
          <w:szCs w:val="24"/>
        </w:rPr>
        <w:t xml:space="preserve"> List of Delivery Warehouses Designated for Polypropylene of Dalian Commodity Exchange</w:t>
      </w:r>
      <w:r>
        <w:rPr>
          <w:rFonts w:ascii="Times New Roman" w:hAnsi="Times New Roman" w:cs="Times New Roman"/>
          <w:kern w:val="2"/>
          <w:sz w:val="24"/>
          <w:szCs w:val="24"/>
        </w:rPr>
        <w:t xml:space="preserve"> as Annex 2 attached hereto), and may be adjusted by the Exchange as the case may be.</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contract months of the polypropylene futures contract are January, February, March, April, May, June, July, August, September, October, November and December.</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trading unit of the polypropylene futures contract is 5 MT/Lot.</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price quote unit of the polypropylene futures contract is CNY/MT.</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minimum tick size of the polypropylene futures contract is 1 CNY/MT.</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maximum quantity of orders placed each time for the polypropylene futures contract shall be one thousand (1,000) lots.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standard of trading margins, price limit range and position limit under the polypropylene futures contract shall be subject to the relevant provisions of the </w:t>
      </w:r>
      <w:r>
        <w:rPr>
          <w:rFonts w:ascii="Times New Roman" w:hAnsi="Times New Roman" w:cs="Times New Roman"/>
          <w:i/>
          <w:kern w:val="2"/>
          <w:sz w:val="24"/>
          <w:szCs w:val="24"/>
        </w:rPr>
        <w:t>Measures for Risk Management of Dalian Commodity Exchange</w:t>
      </w:r>
      <w:r>
        <w:rPr>
          <w:rFonts w:ascii="Times New Roman" w:hAnsi="Times New Roman" w:cs="Times New Roman"/>
          <w:kern w:val="2"/>
          <w:sz w:val="24"/>
          <w:szCs w:val="24"/>
        </w:rPr>
        <w:t xml:space="preserve">. </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last trading day of the polypropylene futures contract is the tenth trading day of the contract month.</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last delivery day of the polypropylene futures contract is the third trading day after the last trading day.</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ticker symbol of the polypropylene futures contract is PP.</w:t>
      </w:r>
    </w:p>
    <w:p>
      <w:pPr>
        <w:widowControl w:val="0"/>
        <w:adjustRightInd w:val="0"/>
        <w:snapToGrid w:val="0"/>
        <w:spacing w:before="200" w:line="288"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Chapter III  Delivery and Clearing</w:t>
      </w:r>
    </w:p>
    <w:p>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Section I  General Provisions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polypropylene futures contract applies the exchange of futures for physicals (the "</w:t>
      </w:r>
      <w:r>
        <w:rPr>
          <w:rFonts w:ascii="Times New Roman" w:hAnsi="Times New Roman" w:cs="Times New Roman"/>
          <w:b/>
          <w:kern w:val="2"/>
          <w:sz w:val="24"/>
          <w:szCs w:val="24"/>
        </w:rPr>
        <w:t>EFP</w:t>
      </w:r>
      <w:r>
        <w:rPr>
          <w:rFonts w:ascii="Times New Roman" w:hAnsi="Times New Roman" w:cs="Times New Roman"/>
          <w:kern w:val="2"/>
          <w:sz w:val="24"/>
          <w:szCs w:val="24"/>
        </w:rPr>
        <w:t xml:space="preserve">") and one-off delivery, the detailed procedures of which are provided in the relevant provisions of the </w:t>
      </w:r>
      <w:r>
        <w:rPr>
          <w:rFonts w:ascii="Times New Roman" w:hAnsi="Times New Roman" w:cs="Times New Roman"/>
          <w:i/>
          <w:kern w:val="2"/>
          <w:sz w:val="24"/>
          <w:szCs w:val="24"/>
        </w:rPr>
        <w:t>Measures for Delivery Management of Dalian Commodity Exchange</w:t>
      </w:r>
      <w:r>
        <w:rPr>
          <w:rFonts w:ascii="Times New Roman" w:hAnsi="Times New Roman" w:cs="Times New Roman"/>
          <w:kern w:val="2"/>
          <w:sz w:val="24"/>
          <w:szCs w:val="24"/>
        </w:rPr>
        <w:t xml:space="preserve"> and the </w:t>
      </w:r>
      <w:r>
        <w:rPr>
          <w:rFonts w:ascii="Times New Roman" w:hAnsi="Times New Roman" w:cs="Times New Roman"/>
          <w:i/>
          <w:kern w:val="2"/>
          <w:sz w:val="24"/>
          <w:szCs w:val="24"/>
        </w:rPr>
        <w:t>Measures for Clearing Management of Dalian Commodity Exchange</w:t>
      </w:r>
      <w:r>
        <w:rPr>
          <w:rFonts w:ascii="Times New Roman" w:hAnsi="Times New Roman" w:cs="Times New Roman"/>
          <w:kern w:val="2"/>
          <w:sz w:val="24"/>
          <w:szCs w:val="24"/>
        </w:rPr>
        <w:t xml:space="preserve">. </w:t>
      </w:r>
    </w:p>
    <w:p>
      <w:pPr>
        <w:widowControl w:val="0"/>
        <w:numPr>
          <w:ilvl w:val="0"/>
          <w:numId w:val="1"/>
        </w:numPr>
        <w:adjustRightInd w:val="0"/>
        <w:snapToGrid w:val="0"/>
        <w:spacing w:before="200" w:line="288" w:lineRule="auto"/>
        <w:ind w:left="1276" w:hanging="1276"/>
        <w:rPr>
          <w:rFonts w:ascii="Times New Roman" w:hAnsi="Times New Roman" w:eastAsia="仿宋_GB2312" w:cs="Times New Roman"/>
          <w:kern w:val="2"/>
          <w:sz w:val="24"/>
          <w:szCs w:val="24"/>
          <w:shd w:val="pct10" w:color="auto" w:fill="FFFFFF"/>
        </w:rPr>
      </w:pPr>
      <w:r>
        <w:rPr>
          <w:rFonts w:ascii="Times New Roman" w:hAnsi="Times New Roman" w:eastAsia="仿宋_GB2312" w:cs="Times New Roman"/>
          <w:kern w:val="2"/>
          <w:sz w:val="24"/>
          <w:szCs w:val="24"/>
        </w:rPr>
        <w:t>Standard warehouse receipt of polypropylene can be categorized into standard storage warehouse receipt and standard factory warehouse receipt.</w:t>
      </w:r>
    </w:p>
    <w:p>
      <w:pPr>
        <w:widowControl w:val="0"/>
        <w:numPr>
          <w:ilvl w:val="0"/>
          <w:numId w:val="1"/>
        </w:numPr>
        <w:adjustRightInd w:val="0"/>
        <w:snapToGrid w:val="0"/>
        <w:spacing w:before="200" w:line="288" w:lineRule="auto"/>
        <w:ind w:left="1276" w:hanging="1276"/>
        <w:rPr>
          <w:rFonts w:ascii="Times New Roman" w:hAnsi="Times New Roman" w:cs="Times New Roman"/>
          <w:kern w:val="2"/>
          <w:sz w:val="24"/>
          <w:szCs w:val="24"/>
        </w:rPr>
      </w:pPr>
      <w:r>
        <w:rPr>
          <w:rFonts w:ascii="Times New Roman" w:hAnsi="Times New Roman" w:cs="Times New Roman"/>
          <w:kern w:val="2"/>
          <w:sz w:val="24"/>
          <w:szCs w:val="24"/>
        </w:rPr>
        <w:t>The delivery products of polypropylene shall use the packages of the original manufacturer or the packages approved by the original manufacturer. The packing sacks shall bear the trademark, the product name, the product standard number, the net weight, the manufacturer's name and address as well as the product type.</w:t>
      </w:r>
    </w:p>
    <w:p>
      <w:pPr>
        <w:widowControl w:val="0"/>
        <w:adjustRightInd w:val="0"/>
        <w:snapToGrid w:val="0"/>
        <w:spacing w:before="200" w:line="288" w:lineRule="auto"/>
        <w:ind w:left="1276"/>
        <w:rPr>
          <w:rFonts w:ascii="Times New Roman" w:hAnsi="Times New Roman" w:cs="Times New Roman"/>
          <w:kern w:val="2"/>
          <w:sz w:val="24"/>
          <w:szCs w:val="24"/>
        </w:rPr>
      </w:pPr>
      <w:r>
        <w:rPr>
          <w:rFonts w:ascii="Times New Roman" w:hAnsi="Times New Roman" w:cs="Times New Roman"/>
          <w:kern w:val="2"/>
          <w:sz w:val="24"/>
          <w:szCs w:val="24"/>
        </w:rPr>
        <w:t>The prices of the packages of the polypropylene shall be included in the polypropylene futures contract price.</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net weight of each sack of the delivery products of the polypropylene shall be 25±0.2 kilograms. Each ton shall have forty (40) sacks without calculation of any more or less thereof.</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dedicated VAT invoice shall be issued for delivery of polypropylene.</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delivery commissions, the sampling and inspection fees, the storage fees and other fees of Polypropylene shall be separately published by the Exchange and no dissipation fees will be charged.</w:t>
      </w:r>
    </w:p>
    <w:p>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Section II  Standard Warehouse Receipt Delivery</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w:t>
      </w:r>
      <w:r>
        <w:rPr>
          <w:rFonts w:ascii="Times New Roman" w:hAnsi="Times New Roman" w:cs="Times New Roman"/>
          <w:i/>
          <w:kern w:val="2"/>
          <w:sz w:val="24"/>
          <w:szCs w:val="24"/>
        </w:rPr>
        <w:t>Measures for Standard Warehouse Receipt Management of Dalian Commodity Exchange</w:t>
      </w:r>
      <w:r>
        <w:rPr>
          <w:rFonts w:ascii="Times New Roman" w:hAnsi="Times New Roman" w:cs="Times New Roman"/>
          <w:kern w:val="2"/>
          <w:sz w:val="24"/>
          <w:szCs w:val="24"/>
        </w:rPr>
        <w:t xml:space="preserve"> shall apply to the generation, circulation and deregistration of the standard warehouse receipts, if not provided in the Detailed Rules.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Member shall pay the notice of intent to deliver earnest money to the Exchange as per the standard of CNY thirty (30) per ton when it handles the notice of intent to deliver.</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owner which has fully completed the notice of intent to deliver shall, before consignment, notify the designated delivery warehouse of the vehicle or vessel number, products, quantity, arrival time and other information, and the designated delivery warehouse shall reasonably arrange for receipt and loading-in of the commodities.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designated delivery warehouse shall engage a quality inspection agency designated by the Exchange to carry out the quality inspection of the commodities to be loaded in the warehouse. The inspection fees shall be borne by the owner and shall be forwarded by the designated delivery warehouse.</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batch grouping with respect to the quality inspection shall be carried out as per the same manufacturer and the same brand, with each batch being three hundred (300) tons. The inspection shall be carried in more than one (1) batch for those of more than three hundred (300) tons, or in one (1) batch for those less than three hundred (300) tons.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quality inspection agency designated by the Exchange shall, after its completion of the quality inspection of the polypropylene loaded in the warehouse, issue one (1) original and three (3) duplicate inspection reports; and the original shall be submitted to the designated delivery warehouse and two (2) of the duplicates shall be respectively submitted to the Exchange and the owner.</w:t>
      </w:r>
    </w:p>
    <w:p>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sz w:val="24"/>
          <w:szCs w:val="24"/>
        </w:rPr>
        <w:t xml:space="preserve">In case that the owner or the designated delivery warehouse has any objection over the inspection result of the commodity inspection report during loading-in of the storage warehouse commodities, excluding commodities that are exempted from loading-in inspection, it shall file a written application for re-inspection with the Exchange within ten (10) working days following the date of its receipt of the commodity inspection report. The application for re-inspection shall indicate the name of the warehouse, </w:t>
      </w:r>
      <w:r>
        <w:rPr>
          <w:rFonts w:hint="eastAsia" w:ascii="Times New Roman" w:hAnsi="Times New Roman" w:cs="Times New Roman"/>
          <w:sz w:val="24"/>
          <w:szCs w:val="24"/>
        </w:rPr>
        <w:t>quantity, quality index</w:t>
      </w:r>
      <w:r>
        <w:rPr>
          <w:rFonts w:ascii="Times New Roman" w:hAnsi="Times New Roman" w:cs="Times New Roman"/>
          <w:sz w:val="24"/>
          <w:szCs w:val="24"/>
        </w:rPr>
        <w:t>, manufacturer, brand number, stack location number (if any) and other information of the commodities to be re-inspected, leave the contact information and be affixed with the official seal of the party raising the dispute. It shall be deemed that there is no objection over the inspection result of the commodity inspection report in case of no re-inspection application in the prescribed manner within the prescribed period. The re-inspection shall be carried out by the designated quality inspection agency entrusted by the Exchange, and such re-inspection result shall be the basis for settlement of the dispute. The re-inspection costs shall be borne by the party raising the dispute.</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designated delivery warehouse shall carry out, subject to the applicable provisions of the Exchange, inspection of the manufacturer, brand, quality, packaging and the relevant materials and certificates of the polypropylene which has been loaded in the warehouse.</w:t>
      </w:r>
    </w:p>
    <w:p>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When registering the standard warehouse receipt of polypropylene futures, the owner shall provide a photocopy of the corresponding dedicated VAT invoice, and the designated delivery warehouse shall verify sources of the commodities.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receiving and consigning quantity of the polypropylene shall be subject to the checking by the designated delivery warehouse.</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With respect to the domestically manufactured polypropylene, the period of the date of the application for registration of the standard warehouse receipt of the storage warehouse from the manufacturing date of the commodities shall not exceed one hundred and eighty (180) calendar days.</w:t>
      </w:r>
    </w:p>
    <w:p>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With respect to the overseas manufactured polypropylene, the period of the date of the application for registration the standard warehouse receipt of the storage warehouse from the import date in the Imported Goods Customs Clearance Form (or the entry day in the Entering Goods Recording List) shall not exceed one hundred and eighty (180) calendar days.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deregistration of the standard warehouse receipt shall be carried out against the standard warehouse receipts of the polypropylene prior to the last trading day of each March.</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When the polypropylene is loaded out of the storage warehouse, the owner which holds the Notice to Load Out or load-out password shall contact the designated delivery warehouse for the loading-out matters three (3) calendar days prior to the actual pickup date, and shall pick up the commodities at the designated delivery warehouse within ten (10) working days (inclusive of the tenth working day) after the deregistration of the standard warehouse receipt.</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If the owner has any objection on quality of the loaded-out commodities, it shall firstly negotiate with the warehouse. If the negotiation fails, the owner shall file </w:t>
      </w:r>
      <w:r>
        <w:rPr>
          <w:rFonts w:ascii="Times New Roman" w:hAnsi="Times New Roman" w:cs="Times New Roman"/>
          <w:sz w:val="24"/>
          <w:szCs w:val="24"/>
        </w:rPr>
        <w:t>a written</w:t>
      </w:r>
      <w:r>
        <w:rPr>
          <w:rFonts w:ascii="Times New Roman" w:hAnsi="Times New Roman" w:cs="Times New Roman"/>
          <w:kern w:val="2"/>
          <w:sz w:val="24"/>
          <w:szCs w:val="24"/>
        </w:rPr>
        <w:t xml:space="preserve"> application for re-inspection to the Exchange within ten (10) working days from the date of deregistration of the standard warehouse receipts, provided that the commodities have been delivered but have not been loaded out of the warehouse. The application for re-inspection shall indicate the name of the warehouse, </w:t>
      </w:r>
      <w:r>
        <w:rPr>
          <w:rFonts w:hint="eastAsia" w:ascii="Times New Roman" w:hAnsi="Times New Roman" w:cs="Times New Roman"/>
          <w:kern w:val="2"/>
          <w:sz w:val="24"/>
          <w:szCs w:val="24"/>
        </w:rPr>
        <w:t>quantity, quality index</w:t>
      </w:r>
      <w:r>
        <w:rPr>
          <w:rFonts w:ascii="Times New Roman" w:hAnsi="Times New Roman" w:cs="Times New Roman"/>
          <w:kern w:val="2"/>
          <w:sz w:val="24"/>
          <w:szCs w:val="24"/>
        </w:rPr>
        <w:t xml:space="preserve">, manufacturer, brand number, stack location number and other information of the commodities to be re-inspected, leave the contact information and be affixed with the official seal of the owner. The owner shall be deemed to have no objection over quality of the loaded-out commodities if it does not file application in the prescribed manner within the prescribed period. The re-inspection shall be carried out by the designated quality inspection agency entrusted by the Exchange, and the inspection result shall be the basis for settlement of the dispute. The re-inspection fees shall be </w:t>
      </w:r>
      <w:r>
        <w:rPr>
          <w:rFonts w:hint="eastAsia" w:ascii="Times New Roman" w:hAnsi="Times New Roman" w:cs="Times New Roman"/>
          <w:kern w:val="2"/>
          <w:sz w:val="24"/>
          <w:szCs w:val="24"/>
        </w:rPr>
        <w:t>advanced</w:t>
      </w:r>
      <w:r>
        <w:rPr>
          <w:rFonts w:ascii="Times New Roman" w:hAnsi="Times New Roman" w:cs="Times New Roman"/>
          <w:kern w:val="2"/>
          <w:sz w:val="24"/>
          <w:szCs w:val="24"/>
        </w:rPr>
        <w:t xml:space="preserve"> by the owner.</w:t>
      </w:r>
    </w:p>
    <w:p>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 xml:space="preserve">For commodities that are not exempted from loading-in inspection, if the re-inspection result is in conformity with the delivery quality standards, </w:t>
      </w:r>
      <w:r>
        <w:rPr>
          <w:rFonts w:ascii="Times New Roman" w:hAnsi="Times New Roman" w:cs="Times New Roman"/>
          <w:sz w:val="24"/>
          <w:szCs w:val="24"/>
        </w:rPr>
        <w:t>the relevant fees (including but not limited</w:t>
      </w:r>
      <w:r>
        <w:rPr>
          <w:rFonts w:hint="eastAsia" w:ascii="Times New Roman" w:hAnsi="Times New Roman" w:cs="Times New Roman"/>
          <w:sz w:val="24"/>
          <w:szCs w:val="24"/>
        </w:rPr>
        <w:t xml:space="preserve"> to </w:t>
      </w:r>
      <w:r>
        <w:rPr>
          <w:rFonts w:ascii="Times New Roman" w:hAnsi="Times New Roman" w:eastAsia="仿宋_GB2312" w:cs="Times New Roman"/>
          <w:bCs/>
          <w:kern w:val="2"/>
          <w:sz w:val="24"/>
          <w:szCs w:val="24"/>
        </w:rPr>
        <w:t>the inspection fees, traveling expenses, storage charges</w:t>
      </w:r>
      <w:r>
        <w:rPr>
          <w:rFonts w:hint="eastAsia" w:ascii="Times New Roman" w:hAnsi="Times New Roman" w:eastAsia="仿宋_GB2312" w:cs="Times New Roman"/>
          <w:bCs/>
          <w:kern w:val="2"/>
          <w:sz w:val="24"/>
          <w:szCs w:val="24"/>
        </w:rPr>
        <w:t>)</w:t>
      </w:r>
      <w:r>
        <w:rPr>
          <w:rFonts w:ascii="Times New Roman" w:hAnsi="Times New Roman" w:eastAsia="仿宋_GB2312" w:cs="Times New Roman"/>
          <w:bCs/>
          <w:kern w:val="2"/>
          <w:sz w:val="24"/>
          <w:szCs w:val="24"/>
        </w:rPr>
        <w:t xml:space="preserve"> shall be borne by the owner; if not, </w:t>
      </w:r>
      <w:r>
        <w:rPr>
          <w:rFonts w:ascii="Times New Roman" w:hAnsi="Times New Roman" w:cs="Times New Roman"/>
          <w:sz w:val="24"/>
          <w:szCs w:val="24"/>
        </w:rPr>
        <w:t>relevant fees (including but not limited</w:t>
      </w:r>
      <w:r>
        <w:rPr>
          <w:rFonts w:hint="eastAsia" w:ascii="Times New Roman" w:hAnsi="Times New Roman" w:cs="Times New Roman"/>
          <w:sz w:val="24"/>
          <w:szCs w:val="24"/>
        </w:rPr>
        <w:t xml:space="preserve"> to </w:t>
      </w:r>
      <w:r>
        <w:rPr>
          <w:rFonts w:ascii="Times New Roman" w:hAnsi="Times New Roman" w:eastAsia="仿宋_GB2312" w:cs="Times New Roman"/>
          <w:bCs/>
          <w:kern w:val="2"/>
          <w:sz w:val="24"/>
          <w:szCs w:val="24"/>
        </w:rPr>
        <w:t>the inspection fees, traveling expenses, storage charges</w:t>
      </w:r>
      <w:r>
        <w:rPr>
          <w:rFonts w:hint="eastAsia" w:ascii="Times New Roman" w:hAnsi="Times New Roman" w:eastAsia="仿宋_GB2312" w:cs="Times New Roman"/>
          <w:bCs/>
          <w:kern w:val="2"/>
          <w:sz w:val="24"/>
          <w:szCs w:val="24"/>
        </w:rPr>
        <w:t>)</w:t>
      </w:r>
      <w:r>
        <w:rPr>
          <w:rFonts w:ascii="Times New Roman" w:hAnsi="Times New Roman" w:eastAsia="仿宋_GB2312" w:cs="Times New Roman"/>
          <w:bCs/>
          <w:kern w:val="2"/>
          <w:sz w:val="24"/>
          <w:szCs w:val="24"/>
        </w:rPr>
        <w:t xml:space="preserve"> </w:t>
      </w:r>
      <w:r>
        <w:rPr>
          <w:rFonts w:ascii="Times New Roman" w:hAnsi="Times New Roman" w:cs="Times New Roman"/>
          <w:sz w:val="24"/>
          <w:szCs w:val="24"/>
        </w:rPr>
        <w:t>as well as any losses incurred thereby</w:t>
      </w:r>
      <w:r>
        <w:rPr>
          <w:rFonts w:ascii="Times New Roman" w:hAnsi="Times New Roman" w:cs="Times New Roman"/>
          <w:kern w:val="2"/>
          <w:sz w:val="24"/>
          <w:szCs w:val="24"/>
        </w:rPr>
        <w:t xml:space="preserve"> shall be borne by the warehouse; where the re-inspection result is consistent with the delivery quality standards, but the commodities are not of the delivery brand promised by the applicant for the standard warehouse receipt registration, the warehouse shall compensate the owner at the rate of CNY two hundred (200)/ton or less first, and shall have the right to claim against the applicant for the standard warehouse receipt registration and other liable persons thereafter, for which process the enterprise applying for the delivery brand qualification shall provide relevant assistance.</w:t>
      </w:r>
    </w:p>
    <w:p>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 xml:space="preserve">For commodities exempted from loading-in inspection, if the re-inspection result for the dispute is in conformity with the delivery quality standards, the relevant fees and expenses incurred thereby shall be borne by the owner; if not, such fees and expenses shall be borne by the enterprise applying for the delivery brand qualification. If the re-inspection result for the dispute does not conform with the delivery quality standards, or if the re-inspection result conforms with the delivery quality standards but the commodities are not of the </w:t>
      </w:r>
      <w:r>
        <w:rPr>
          <w:rFonts w:hint="eastAsia" w:ascii="Times New Roman" w:hAnsi="Times New Roman" w:cs="Times New Roman"/>
          <w:kern w:val="2"/>
          <w:sz w:val="24"/>
          <w:szCs w:val="24"/>
        </w:rPr>
        <w:t>delivery</w:t>
      </w:r>
      <w:r>
        <w:rPr>
          <w:rFonts w:ascii="Times New Roman" w:hAnsi="Times New Roman" w:cs="Times New Roman"/>
          <w:kern w:val="2"/>
          <w:sz w:val="24"/>
          <w:szCs w:val="24"/>
        </w:rPr>
        <w:t xml:space="preserve"> brand promised by the applicant for the standard warehouse receipt registration, unless otherwise agreed upon by the owner and the enterprise applying for the delivery brand qualification, the enterprise applying for the delivery brand qualification shall replace the commodities for the owner at the original closing location within fifteen (15) calendar days following the day on which it received or should have received the re-inspection result. If the enterprise applying for the delivery brand qualification fails to replace the commodities within such period, the enterprise applying for the delivery brand qualification shall compensate the owner as per CNY two (2)/ton; if the enterprise applying for the delivery brand qualification fails to replace the commodities within sixty (60) calendar days following the day on which it received or should have received the re-inspection result, the enterprise applying for the delivery brand qualification shall compensate the owner all the losses incurred thereby. After the enterprise applying for the delivery brand qualification makes compensation to the owner, it shall have the right to claim against the applicant for the standard warehouse receipt registration or other liable persons.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When the polypropylene is loaded out of the factory warehouse, the owner shall pick up the commodities at the factory warehouse within four (4) calendar days (inclusive of the fourth calendar day) following the deregistration day of the standard warehouse receipt (exclusive of the deregistration day). The factory warehouse shall commence consignment within four (4) calendar days (inclusive of the fourth calendar day) following deregistration of the standard warehouse receipt (exclusive of the deregistration day).</w:t>
      </w:r>
    </w:p>
    <w:p>
      <w:pPr>
        <w:widowControl w:val="0"/>
        <w:adjustRightInd w:val="0"/>
        <w:snapToGrid w:val="0"/>
        <w:spacing w:before="200" w:line="288" w:lineRule="auto"/>
        <w:ind w:left="1273" w:leftChars="606" w:firstLine="2"/>
        <w:rPr>
          <w:rFonts w:ascii="Times New Roman" w:hAnsi="Times New Roman" w:cs="Times New Roman"/>
          <w:kern w:val="2"/>
          <w:sz w:val="24"/>
          <w:szCs w:val="24"/>
        </w:rPr>
      </w:pPr>
      <w:r>
        <w:rPr>
          <w:rFonts w:ascii="Times New Roman" w:hAnsi="Times New Roman" w:cs="Times New Roman"/>
          <w:kern w:val="2"/>
          <w:sz w:val="24"/>
          <w:szCs w:val="24"/>
        </w:rPr>
        <w:t>When the polypropylene is loaded out of the factory warehouse, the factory warehouse shall draw samples under the owner's supervision, and the samples shall be sealed upon confirmation of both parties and shall be preserved for thirty (30) calendar days following the consignment day.</w:t>
      </w:r>
    </w:p>
    <w:p>
      <w:pPr>
        <w:widowControl w:val="0"/>
        <w:adjustRightInd w:val="0"/>
        <w:snapToGrid w:val="0"/>
        <w:spacing w:before="200" w:line="288" w:lineRule="auto"/>
        <w:ind w:left="1273" w:leftChars="606" w:firstLine="2"/>
        <w:rPr>
          <w:rFonts w:ascii="Times New Roman" w:hAnsi="Times New Roman" w:cs="Times New Roman"/>
          <w:kern w:val="2"/>
          <w:sz w:val="24"/>
          <w:szCs w:val="24"/>
        </w:rPr>
      </w:pPr>
      <w:r>
        <w:rPr>
          <w:rFonts w:ascii="Times New Roman" w:hAnsi="Times New Roman" w:cs="Times New Roman"/>
          <w:kern w:val="2"/>
          <w:sz w:val="24"/>
          <w:szCs w:val="24"/>
        </w:rPr>
        <w:t xml:space="preserve">If the owner has any objection over the quality of the commodities to be loaded out of the factory warehouse, it shall firstly negotiate with the factory warehouse for settlement. If the negotiation fails, the owner shall, within ten (10) working days (exclusive of the tenth working day) after the samples are sealed by it according to the preceding provisions, file in writing an application for re-inspection with the Exchange. Such application shall indicate the name of the factory warehouse, the quantity, the quality </w:t>
      </w:r>
      <w:r>
        <w:rPr>
          <w:rFonts w:hint="eastAsia" w:ascii="Times New Roman" w:hAnsi="Times New Roman" w:cs="Times New Roman"/>
          <w:kern w:val="2"/>
          <w:sz w:val="24"/>
          <w:szCs w:val="24"/>
        </w:rPr>
        <w:t>index</w:t>
      </w:r>
      <w:r>
        <w:rPr>
          <w:rFonts w:ascii="Times New Roman" w:hAnsi="Times New Roman" w:cs="Times New Roman"/>
          <w:kern w:val="2"/>
          <w:sz w:val="24"/>
          <w:szCs w:val="24"/>
        </w:rPr>
        <w:t>, the manufacturers, the brand number and the stack location number (if any)</w:t>
      </w:r>
      <w:r>
        <w:rPr>
          <w:sz w:val="24"/>
          <w:szCs w:val="24"/>
        </w:rPr>
        <w:t xml:space="preserve"> </w:t>
      </w:r>
      <w:r>
        <w:rPr>
          <w:rFonts w:ascii="Times New Roman" w:hAnsi="Times New Roman" w:cs="Times New Roman"/>
          <w:kern w:val="2"/>
          <w:sz w:val="24"/>
          <w:szCs w:val="24"/>
        </w:rPr>
        <w:t xml:space="preserve">of the commodities that need to be re-inspected, </w:t>
      </w:r>
      <w:r>
        <w:rPr>
          <w:rFonts w:ascii="Times New Roman" w:hAnsi="Times New Roman" w:cs="Times New Roman"/>
          <w:sz w:val="24"/>
          <w:szCs w:val="24"/>
        </w:rPr>
        <w:t xml:space="preserve"> leave the contact information and be affixed with the official seal of the owner</w:t>
      </w:r>
      <w:r>
        <w:rPr>
          <w:rFonts w:ascii="Times New Roman" w:hAnsi="Times New Roman" w:cs="Times New Roman"/>
          <w:kern w:val="2"/>
          <w:sz w:val="24"/>
          <w:szCs w:val="24"/>
        </w:rPr>
        <w:t>. If no application is filed in the prescribed manner within the prescribed period, it will be deemed that the owner has no objection over the quality of the commodities that are being loaded out of the factory warehouse. The Exchange shall entrust a designated quality inspection agency to carry out the re-inspection over the reserved samples, and the re-inspection result shall be the basis for any dispute settlement. The re-inspection costs shall be advanced by the owner. If the re-inspection result is in conformity with the delivery quality standards, the relevant fees (including but not limited to the inspection fees, traveling expenses</w:t>
      </w:r>
      <w:r>
        <w:rPr>
          <w:rFonts w:hint="eastAsia" w:ascii="Times New Roman" w:hAnsi="Times New Roman" w:cs="Times New Roman"/>
          <w:kern w:val="2"/>
          <w:sz w:val="24"/>
          <w:szCs w:val="24"/>
        </w:rPr>
        <w:t>,</w:t>
      </w:r>
      <w:r>
        <w:rPr>
          <w:rFonts w:ascii="Times New Roman" w:hAnsi="Times New Roman" w:cs="Times New Roman"/>
          <w:kern w:val="2"/>
          <w:sz w:val="24"/>
          <w:szCs w:val="24"/>
        </w:rPr>
        <w:t xml:space="preserve"> storage fees) as well as any losses incurred thereby shall be borne by the owner; if not, relevant fees (including but not limited to the inspection fees, traveling expenses, storage fees) as well as any losses incurred thereby shall be borne by the factory warehouse.</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Where the factory warehouse consigns commodities to the owner at a speed no higher than the daily consignment speed but the owner fails to pick up the commodities due to its transportation capability or other reasons, the owner shall pay late fee to the factory warehouse. The late fee is calculated as follows:</w:t>
      </w:r>
    </w:p>
    <w:p>
      <w:pPr>
        <w:widowControl w:val="0"/>
        <w:numPr>
          <w:ilvl w:val="0"/>
          <w:numId w:val="2"/>
        </w:numPr>
        <w:tabs>
          <w:tab w:val="left" w:pos="1843"/>
        </w:tabs>
        <w:adjustRightInd w:val="0"/>
        <w:snapToGrid w:val="0"/>
        <w:spacing w:before="200" w:line="288" w:lineRule="auto"/>
        <w:ind w:left="1843" w:hanging="567"/>
        <w:rPr>
          <w:rFonts w:ascii="Times New Roman" w:hAnsi="Times New Roman" w:cs="Times New Roman"/>
          <w:kern w:val="2"/>
          <w:sz w:val="24"/>
          <w:szCs w:val="24"/>
        </w:rPr>
      </w:pPr>
      <w:r>
        <w:rPr>
          <w:rFonts w:ascii="Times New Roman" w:hAnsi="Times New Roman" w:cs="Times New Roman"/>
          <w:kern w:val="2"/>
          <w:sz w:val="24"/>
          <w:szCs w:val="24"/>
        </w:rPr>
        <w:t>from the start date of the pick-up period (inclusive), the late fee for each day shall be product of the quantity of the goods that should have been picked up on that day and the corresponding late fee standard; and</w:t>
      </w:r>
    </w:p>
    <w:p>
      <w:pPr>
        <w:widowControl w:val="0"/>
        <w:numPr>
          <w:ilvl w:val="0"/>
          <w:numId w:val="2"/>
        </w:numPr>
        <w:tabs>
          <w:tab w:val="left" w:pos="1843"/>
        </w:tabs>
        <w:adjustRightInd w:val="0"/>
        <w:snapToGrid w:val="0"/>
        <w:spacing w:before="200" w:line="288" w:lineRule="auto"/>
        <w:ind w:left="1843" w:hanging="567"/>
        <w:rPr>
          <w:rFonts w:ascii="Times New Roman" w:hAnsi="Times New Roman" w:cs="Times New Roman"/>
          <w:kern w:val="2"/>
          <w:sz w:val="24"/>
          <w:szCs w:val="24"/>
        </w:rPr>
      </w:pPr>
      <w:r>
        <w:rPr>
          <w:rFonts w:ascii="Times New Roman" w:hAnsi="Times New Roman" w:cs="Times New Roman"/>
          <w:kern w:val="2"/>
          <w:sz w:val="24"/>
          <w:szCs w:val="24"/>
        </w:rPr>
        <w:t>as of the day when the picking-up is completed (exclusive), the aggregate late fee owed to the factory warehouse by the owner shall be the sum of the late fees for each day.</w:t>
      </w:r>
    </w:p>
    <w:p>
      <w:pPr>
        <w:widowControl w:val="0"/>
        <w:adjustRightInd w:val="0"/>
        <w:snapToGrid w:val="0"/>
        <w:spacing w:before="200" w:line="288" w:lineRule="auto"/>
        <w:ind w:left="1273" w:leftChars="606" w:firstLine="2"/>
        <w:rPr>
          <w:rFonts w:ascii="Times New Roman" w:hAnsi="Times New Roman" w:cs="Times New Roman"/>
          <w:kern w:val="2"/>
          <w:sz w:val="24"/>
          <w:szCs w:val="24"/>
        </w:rPr>
      </w:pPr>
      <w:r>
        <w:rPr>
          <w:rFonts w:ascii="Times New Roman" w:hAnsi="Times New Roman" w:cs="Times New Roman"/>
          <w:kern w:val="2"/>
          <w:sz w:val="24"/>
          <w:szCs w:val="24"/>
        </w:rPr>
        <w:t>The late fee standard shall be CNY 2/Ton*Day.</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If the pick-up is carried out after expiry of the pick-up period (exclusive of the expiry day) and within nineteen (19) calendar days (inclusive of the nineteenth calendar day) following deregistration of the standard warehouse receipt (exclusive of the deregistration day), the owner shall pay late fee to the factory warehouse, and the factory warehouse shall nevertheless assume the liability related to the commodity quality, consignment time and consignment speed pursuant to the futures standards, until all the futures commodities have been consigned.</w:t>
      </w:r>
    </w:p>
    <w:p>
      <w:pPr>
        <w:widowControl w:val="0"/>
        <w:adjustRightInd w:val="0"/>
        <w:snapToGrid w:val="0"/>
        <w:spacing w:before="200" w:line="288" w:lineRule="auto"/>
        <w:ind w:left="1273" w:leftChars="606" w:firstLine="2"/>
        <w:rPr>
          <w:rFonts w:ascii="Times New Roman" w:hAnsi="Times New Roman" w:cs="Times New Roman"/>
          <w:kern w:val="2"/>
          <w:sz w:val="24"/>
          <w:szCs w:val="24"/>
        </w:rPr>
      </w:pPr>
      <w:r>
        <w:rPr>
          <w:rFonts w:ascii="Times New Roman" w:hAnsi="Times New Roman" w:cs="Times New Roman"/>
          <w:kern w:val="2"/>
          <w:sz w:val="24"/>
          <w:szCs w:val="24"/>
        </w:rPr>
        <w:t>The late fee shall be calculated as follows:</w:t>
      </w:r>
    </w:p>
    <w:p>
      <w:pPr>
        <w:widowControl w:val="0"/>
        <w:numPr>
          <w:ilvl w:val="0"/>
          <w:numId w:val="3"/>
        </w:numPr>
        <w:tabs>
          <w:tab w:val="left" w:pos="1843"/>
        </w:tabs>
        <w:adjustRightInd w:val="0"/>
        <w:snapToGrid w:val="0"/>
        <w:spacing w:before="200" w:line="288" w:lineRule="auto"/>
        <w:ind w:left="1843" w:hanging="567"/>
        <w:rPr>
          <w:rFonts w:ascii="Times New Roman" w:hAnsi="Times New Roman" w:cs="Times New Roman"/>
          <w:kern w:val="2"/>
          <w:sz w:val="24"/>
          <w:szCs w:val="24"/>
        </w:rPr>
      </w:pPr>
      <w:r>
        <w:rPr>
          <w:rFonts w:ascii="Times New Roman" w:hAnsi="Times New Roman" w:cs="Times New Roman"/>
          <w:kern w:val="2"/>
          <w:sz w:val="24"/>
          <w:szCs w:val="24"/>
        </w:rPr>
        <w:t>from the expiration date of picking-up period (inclusive), the late fee for each day shall be product of the quantity of the goods that should have been picked up on that day and the corresponding late fee standard; and</w:t>
      </w:r>
    </w:p>
    <w:p>
      <w:pPr>
        <w:widowControl w:val="0"/>
        <w:numPr>
          <w:ilvl w:val="0"/>
          <w:numId w:val="3"/>
        </w:numPr>
        <w:tabs>
          <w:tab w:val="left" w:pos="1843"/>
        </w:tabs>
        <w:adjustRightInd w:val="0"/>
        <w:snapToGrid w:val="0"/>
        <w:spacing w:before="200" w:line="288" w:lineRule="auto"/>
        <w:ind w:left="1843" w:hanging="567"/>
        <w:rPr>
          <w:rFonts w:ascii="Times New Roman" w:hAnsi="Times New Roman" w:cs="Times New Roman"/>
          <w:kern w:val="2"/>
          <w:sz w:val="24"/>
          <w:szCs w:val="24"/>
        </w:rPr>
      </w:pPr>
      <w:r>
        <w:rPr>
          <w:rFonts w:ascii="Times New Roman" w:hAnsi="Times New Roman" w:cs="Times New Roman"/>
          <w:kern w:val="2"/>
          <w:sz w:val="24"/>
          <w:szCs w:val="24"/>
        </w:rPr>
        <w:t>as of the day when the picking-up is completed (exclusive), the aggregate late fee owed to the factory warehouse by the owner shall be the sum of the late fees for each day.</w:t>
      </w:r>
    </w:p>
    <w:p>
      <w:pPr>
        <w:widowControl w:val="0"/>
        <w:adjustRightInd w:val="0"/>
        <w:snapToGrid w:val="0"/>
        <w:spacing w:before="200" w:line="288" w:lineRule="auto"/>
        <w:ind w:left="1273" w:leftChars="606" w:firstLine="2"/>
        <w:rPr>
          <w:rFonts w:ascii="Times New Roman" w:hAnsi="Times New Roman" w:cs="Times New Roman"/>
          <w:kern w:val="2"/>
          <w:sz w:val="24"/>
          <w:szCs w:val="24"/>
        </w:rPr>
      </w:pPr>
      <w:r>
        <w:rPr>
          <w:rFonts w:ascii="Times New Roman" w:hAnsi="Times New Roman" w:cs="Times New Roman"/>
          <w:kern w:val="2"/>
          <w:sz w:val="24"/>
          <w:szCs w:val="24"/>
        </w:rPr>
        <w:t>The late fee standard shall be CNY 2/Ton*Day.</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If the owner picks up the commodities at the factory warehouse after nineteen (19) calendar days (exclusive of the nineteenth calendar day) following deregistration of the standard warehouse receipt (exclusive of the deregistration day), the owner shall pay late fee to the factory warehouse as calculated in the following formula, and the factory warehouse shall assume no liability related to the commodity quality, consignment time and consignment speed under the futures standards.</w:t>
      </w:r>
    </w:p>
    <w:p>
      <w:pPr>
        <w:widowControl w:val="0"/>
        <w:adjustRightInd w:val="0"/>
        <w:snapToGrid w:val="0"/>
        <w:spacing w:before="200" w:line="288" w:lineRule="auto"/>
        <w:ind w:left="1273" w:leftChars="606" w:firstLine="2"/>
        <w:rPr>
          <w:rFonts w:ascii="Times New Roman" w:hAnsi="Times New Roman" w:cs="Times New Roman"/>
          <w:kern w:val="2"/>
          <w:sz w:val="24"/>
          <w:szCs w:val="24"/>
        </w:rPr>
      </w:pPr>
      <w:r>
        <w:rPr>
          <w:rFonts w:ascii="Times New Roman" w:hAnsi="Times New Roman" w:cs="Times New Roman"/>
          <w:kern w:val="2"/>
          <w:sz w:val="24"/>
          <w:szCs w:val="24"/>
        </w:rPr>
        <w:t>Amount of late fee = CNY 2/Ton*Day × Quantity of all the commodities × 19 Days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Where the factory warehouse fails to consign commodities according to the required daily consignment speed but completes the consignment of all the commodities on time, the factory warehouse shall compensate the owner.</w:t>
      </w:r>
    </w:p>
    <w:p>
      <w:pPr>
        <w:widowControl w:val="0"/>
        <w:adjustRightInd w:val="0"/>
        <w:snapToGrid w:val="0"/>
        <w:spacing w:before="200" w:line="288" w:lineRule="auto"/>
        <w:ind w:left="1273" w:leftChars="606" w:firstLine="2"/>
        <w:rPr>
          <w:rFonts w:ascii="Times New Roman" w:hAnsi="Times New Roman" w:cs="Times New Roman"/>
          <w:kern w:val="2"/>
          <w:sz w:val="24"/>
          <w:szCs w:val="24"/>
        </w:rPr>
      </w:pPr>
      <w:r>
        <w:rPr>
          <w:rFonts w:ascii="Times New Roman" w:hAnsi="Times New Roman" w:cs="Times New Roman"/>
          <w:kern w:val="2"/>
          <w:sz w:val="24"/>
          <w:szCs w:val="24"/>
        </w:rPr>
        <w:t>Amount of compensation = Delivery settlement price of the last delivery month of such commodity × Quantity of the commodities which should have been consigned as per the required daily consignment speed × 5%</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Where the factory warehouse fails to complete the consignment of all the commodities on time, it shall compensate the owner in addition to the compensation provided in Article 38 hereof. Amount of compensation = Delivery settlement price of the last delivery month of such commodity × Quantity of the commodities that should have been consigned according to the total quantity of the commodities × 5%. The following procedures shall also be followed in case of such failure:</w:t>
      </w:r>
    </w:p>
    <w:p>
      <w:pPr>
        <w:widowControl w:val="0"/>
        <w:numPr>
          <w:ilvl w:val="0"/>
          <w:numId w:val="4"/>
        </w:numPr>
        <w:adjustRightInd w:val="0"/>
        <w:snapToGrid w:val="0"/>
        <w:spacing w:before="200" w:line="288" w:lineRule="auto"/>
        <w:ind w:left="1843" w:hanging="567"/>
        <w:rPr>
          <w:rFonts w:ascii="Times New Roman" w:hAnsi="Times New Roman" w:cs="Times New Roman"/>
          <w:kern w:val="2"/>
          <w:sz w:val="24"/>
          <w:szCs w:val="24"/>
        </w:rPr>
      </w:pPr>
      <w:r>
        <w:rPr>
          <w:rFonts w:ascii="Times New Roman" w:hAnsi="Times New Roman" w:cs="Times New Roman"/>
          <w:kern w:val="2"/>
          <w:sz w:val="24"/>
          <w:szCs w:val="24"/>
        </w:rPr>
        <w:t>the Exchange will provide to the owner the physical commodities of the same quality and quantity in other factory warehouses or other places and will bear all the costs and expenses arising out of or in connection with change of delivery site and the delayed consignment; or</w:t>
      </w:r>
    </w:p>
    <w:p>
      <w:pPr>
        <w:widowControl w:val="0"/>
        <w:numPr>
          <w:ilvl w:val="0"/>
          <w:numId w:val="4"/>
        </w:numPr>
        <w:adjustRightInd w:val="0"/>
        <w:snapToGrid w:val="0"/>
        <w:spacing w:before="200" w:line="288" w:lineRule="auto"/>
        <w:ind w:left="1843" w:hanging="567"/>
        <w:rPr>
          <w:rFonts w:ascii="Times New Roman" w:hAnsi="Times New Roman" w:cs="Times New Roman"/>
          <w:kern w:val="2"/>
          <w:sz w:val="24"/>
          <w:szCs w:val="24"/>
        </w:rPr>
      </w:pPr>
      <w:r>
        <w:rPr>
          <w:rFonts w:ascii="Times New Roman" w:hAnsi="Times New Roman" w:cs="Times New Roman"/>
          <w:kern w:val="2"/>
          <w:sz w:val="24"/>
          <w:szCs w:val="24"/>
        </w:rPr>
        <w:t>the Exchange will refund to the owner the payment of the commodities and compensate the owner if it fails to provide the abovementioned commodities.</w:t>
      </w:r>
    </w:p>
    <w:p>
      <w:pPr>
        <w:widowControl w:val="0"/>
        <w:adjustRightInd w:val="0"/>
        <w:snapToGrid w:val="0"/>
        <w:spacing w:before="200" w:line="288" w:lineRule="auto"/>
        <w:ind w:left="1273" w:leftChars="606" w:firstLine="2"/>
        <w:rPr>
          <w:rFonts w:ascii="Times New Roman" w:hAnsi="Times New Roman" w:cs="Times New Roman"/>
          <w:kern w:val="2"/>
          <w:sz w:val="24"/>
          <w:szCs w:val="24"/>
        </w:rPr>
      </w:pPr>
      <w:r>
        <w:rPr>
          <w:rFonts w:ascii="Times New Roman" w:hAnsi="Times New Roman" w:cs="Times New Roman"/>
          <w:kern w:val="2"/>
          <w:sz w:val="24"/>
          <w:szCs w:val="24"/>
        </w:rPr>
        <w:t>Amount of refunded payment of commodities and compensation = Delivery settlement price of the last delivery month of such commodity × Quantity of the commodities that should have been consigned according to the total quantity of the commodities × 120%</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In the event of any default of the factory warehouse described in Article 38 or 39 hereof, the factory warehouse shall pay the compensation to the owner first. Where the factory warehouse fails to pay the compensation in whole or in part, the Exchange will handle such situation subject to the relevant provisions in the </w:t>
      </w:r>
      <w:r>
        <w:rPr>
          <w:rFonts w:ascii="Times New Roman" w:hAnsi="Times New Roman" w:cs="Times New Roman"/>
          <w:i/>
          <w:kern w:val="2"/>
          <w:sz w:val="24"/>
          <w:szCs w:val="24"/>
        </w:rPr>
        <w:t>Measures for Standard Warehouse Receipt Management of Dalian Commodity Exchange.</w:t>
      </w:r>
    </w:p>
    <w:p>
      <w:pPr>
        <w:widowControl w:val="0"/>
        <w:adjustRightInd w:val="0"/>
        <w:snapToGrid w:val="0"/>
        <w:spacing w:before="200" w:line="288"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Chapter IV  Supplementary Provisions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Any violation of the Detailed Rules shall be handled by the Exchange subject to the applicable provisions of the </w:t>
      </w:r>
      <w:r>
        <w:rPr>
          <w:rFonts w:ascii="Times New Roman" w:hAnsi="Times New Roman" w:cs="Times New Roman"/>
          <w:i/>
          <w:kern w:val="2"/>
          <w:sz w:val="24"/>
          <w:szCs w:val="24"/>
        </w:rPr>
        <w:t xml:space="preserve">Measures against Rule Violations of Dalian Commodity Exchange </w:t>
      </w:r>
      <w:r>
        <w:rPr>
          <w:rFonts w:ascii="Times New Roman" w:hAnsi="Times New Roman" w:cs="Times New Roman"/>
          <w:kern w:val="2"/>
          <w:sz w:val="24"/>
          <w:szCs w:val="24"/>
        </w:rPr>
        <w:t>and other rules.</w:t>
      </w:r>
    </w:p>
    <w:p>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Exchange reserves the right to interpret the Detailed Rules.</w:t>
      </w:r>
    </w:p>
    <w:p>
      <w:pPr>
        <w:widowControl w:val="0"/>
        <w:numPr>
          <w:ilvl w:val="0"/>
          <w:numId w:val="1"/>
        </w:numPr>
        <w:adjustRightInd w:val="0"/>
        <w:snapToGrid w:val="0"/>
        <w:spacing w:before="200" w:line="288" w:lineRule="auto"/>
        <w:ind w:left="1259" w:hanging="1259"/>
        <w:rPr>
          <w:rFonts w:ascii="Times New Roman" w:hAnsi="Times New Roman" w:cs="Times New Roman"/>
          <w:b/>
          <w:kern w:val="2"/>
          <w:sz w:val="24"/>
          <w:szCs w:val="24"/>
        </w:rPr>
      </w:pPr>
      <w:r>
        <w:rPr>
          <w:rFonts w:ascii="Times New Roman" w:hAnsi="Times New Roman" w:cs="Times New Roman"/>
          <w:kern w:val="2"/>
          <w:sz w:val="24"/>
          <w:szCs w:val="24"/>
        </w:rPr>
        <w:t>The Detailed Rules shall come into force on July 1, 2019.</w:t>
      </w:r>
    </w:p>
    <w:p>
      <w:pPr>
        <w:widowControl w:val="0"/>
        <w:adjustRightInd w:val="0"/>
        <w:snapToGrid w:val="0"/>
        <w:spacing w:before="200" w:line="288" w:lineRule="auto"/>
        <w:rPr>
          <w:rFonts w:ascii="Times New Roman" w:hAnsi="Times New Roman" w:cs="Times New Roman"/>
          <w:b/>
          <w:kern w:val="2"/>
          <w:sz w:val="24"/>
          <w:szCs w:val="24"/>
        </w:rPr>
      </w:pPr>
    </w:p>
    <w:p>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Annex 1:  Polypropylene Delivery Quality Standard of Dalian Commodity Exchange (F/DCE PP001-2014)</w:t>
      </w:r>
    </w:p>
    <w:p>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Annex 2:  List of Delivery Warehouses Designated for Polypropylene of Dalian Commodity Exchange</w:t>
      </w:r>
    </w:p>
    <w:p>
      <w:pPr>
        <w:shd w:val="clear" w:color="auto" w:fill="FFFFFF"/>
        <w:adjustRightInd w:val="0"/>
        <w:snapToGrid w:val="0"/>
        <w:spacing w:before="200" w:line="288" w:lineRule="auto"/>
        <w:rPr>
          <w:rFonts w:ascii="Times New Roman" w:hAnsi="Times New Roman" w:cs="Times New Roman"/>
          <w:b/>
          <w:i/>
          <w:kern w:val="2"/>
          <w:sz w:val="24"/>
          <w:szCs w:val="24"/>
        </w:rPr>
      </w:pPr>
    </w:p>
    <w:p>
      <w:pPr>
        <w:shd w:val="clear" w:color="auto" w:fill="FFFFFF"/>
        <w:adjustRightInd w:val="0"/>
        <w:snapToGrid w:val="0"/>
        <w:spacing w:before="200" w:line="288" w:lineRule="auto"/>
        <w:rPr>
          <w:rFonts w:ascii="Times New Roman" w:hAnsi="Times New Roman" w:cs="Times New Roman"/>
          <w:i/>
          <w:kern w:val="2"/>
          <w:sz w:val="24"/>
          <w:szCs w:val="24"/>
        </w:rPr>
      </w:pPr>
      <w:r>
        <w:rPr>
          <w:rFonts w:ascii="Times New Roman" w:hAnsi="Times New Roman" w:cs="Times New Roman"/>
          <w:b/>
          <w:i/>
          <w:kern w:val="2"/>
          <w:sz w:val="24"/>
          <w:szCs w:val="24"/>
        </w:rPr>
        <w:t>Disclaimer</w:t>
      </w:r>
      <w:r>
        <w:rPr>
          <w:rFonts w:ascii="Times New Roman" w:hAnsi="Times New Roman" w:cs="Times New Roman"/>
          <w:i/>
          <w:kern w:val="2"/>
          <w:sz w:val="24"/>
          <w:szCs w:val="24"/>
        </w:rPr>
        <w:t>: This English translation may be used for reference only. In cases there is any discrepancy between the English version and the original Chinese version, the original Chinese version shall prevail. Dalian Commodity Exchange may change or update this English translation without any prior notice and shall accept no responsibility or liability for damage or loss caused by any error, inaccuracy, misunderstanding, or change with regard to this English translation.</w:t>
      </w:r>
    </w:p>
    <w:p>
      <w:pPr>
        <w:widowControl w:val="0"/>
        <w:adjustRightInd w:val="0"/>
        <w:snapToGrid w:val="0"/>
        <w:spacing w:before="200" w:line="288" w:lineRule="auto"/>
        <w:rPr>
          <w:rFonts w:ascii="Times New Roman" w:hAnsi="Times New Roman" w:cs="Times New Roman"/>
          <w:kern w:val="2"/>
          <w:sz w:val="24"/>
          <w:szCs w:val="24"/>
        </w:rPr>
      </w:pPr>
    </w:p>
    <w:bookmarkEnd w:id="1"/>
    <w:p>
      <w:p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p>
    <w:p>
      <w:pPr>
        <w:shd w:val="clear" w:color="auto" w:fill="FFFFFF"/>
        <w:snapToGrid w:val="0"/>
        <w:spacing w:after="200" w:line="288"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Annex 1</w:t>
      </w:r>
    </w:p>
    <w:p>
      <w:pPr>
        <w:shd w:val="clear" w:color="auto" w:fill="FFFFFF"/>
        <w:snapToGrid w:val="0"/>
        <w:spacing w:after="200" w:line="288" w:lineRule="auto"/>
        <w:jc w:val="center"/>
        <w:rPr>
          <w:rFonts w:ascii="Times New Roman" w:hAnsi="Times New Roman" w:cs="Times New Roman"/>
          <w:b/>
          <w:bCs/>
          <w:color w:val="333333"/>
          <w:sz w:val="24"/>
          <w:szCs w:val="24"/>
        </w:rPr>
      </w:pPr>
      <w:r>
        <w:rPr>
          <w:rFonts w:ascii="Times New Roman" w:hAnsi="Times New Roman" w:cs="Times New Roman"/>
          <w:b/>
          <w:bCs/>
          <w:sz w:val="24"/>
          <w:szCs w:val="24"/>
        </w:rPr>
        <w:t>Polypropylene</w:t>
      </w:r>
      <w:r>
        <w:rPr>
          <w:rFonts w:ascii="Times New Roman" w:hAnsi="Times New Roman" w:cs="Times New Roman"/>
          <w:b/>
          <w:bCs/>
          <w:color w:val="333333"/>
          <w:sz w:val="24"/>
          <w:szCs w:val="24"/>
        </w:rPr>
        <w:t xml:space="preserve"> Delivery Quality Standard of Dalian Commodity Exchange ("DCE")</w:t>
      </w:r>
      <w:r>
        <w:rPr>
          <w:rFonts w:ascii="Times New Roman" w:hAnsi="Times New Roman" w:cs="Times New Roman"/>
          <w:b/>
          <w:bCs/>
          <w:i/>
          <w:iCs/>
          <w:color w:val="333333"/>
          <w:sz w:val="24"/>
          <w:szCs w:val="24"/>
        </w:rPr>
        <w:t xml:space="preserve"> (F/DCE PP001-2014)</w:t>
      </w:r>
    </w:p>
    <w:p>
      <w:pPr>
        <w:shd w:val="clear" w:color="auto" w:fill="FFFFFF"/>
        <w:snapToGrid w:val="0"/>
        <w:spacing w:after="200" w:line="288" w:lineRule="auto"/>
        <w:ind w:left="567" w:hanging="567"/>
        <w:rPr>
          <w:rFonts w:ascii="Times New Roman" w:hAnsi="Times New Roman" w:cs="Times New Roman"/>
          <w:color w:val="333333"/>
          <w:sz w:val="24"/>
          <w:szCs w:val="24"/>
        </w:rPr>
      </w:pPr>
      <w:r>
        <w:rPr>
          <w:rFonts w:hint="default" w:ascii="Times New Roman" w:hAnsi="Times New Roman" w:cs="Times New Roman"/>
          <w:b/>
          <w:bCs/>
          <w:color w:val="333333"/>
          <w:sz w:val="24"/>
          <w:szCs w:val="24"/>
          <w:lang w:val="en"/>
        </w:rPr>
        <w:t xml:space="preserve">1 </w:t>
      </w:r>
      <w:r>
        <w:rPr>
          <w:rFonts w:ascii="Times New Roman" w:hAnsi="Times New Roman" w:cs="Times New Roman"/>
          <w:b/>
          <w:bCs/>
          <w:color w:val="333333"/>
          <w:sz w:val="24"/>
          <w:szCs w:val="24"/>
        </w:rPr>
        <w:t xml:space="preserve">Main content and applicable cope </w:t>
      </w:r>
    </w:p>
    <w:p>
      <w:pPr>
        <w:shd w:val="clear" w:color="auto" w:fill="FFFFFF"/>
        <w:snapToGrid w:val="0"/>
        <w:spacing w:after="200" w:line="288" w:lineRule="auto"/>
        <w:ind w:left="574"/>
        <w:rPr>
          <w:rFonts w:ascii="Times New Roman" w:hAnsi="Times New Roman" w:cs="Times New Roman"/>
          <w:color w:val="333333"/>
          <w:sz w:val="24"/>
          <w:szCs w:val="24"/>
        </w:rPr>
      </w:pPr>
      <w:r>
        <w:rPr>
          <w:rFonts w:hint="default" w:ascii="Times New Roman" w:hAnsi="Times New Roman" w:cs="Times New Roman"/>
          <w:color w:val="333333"/>
          <w:sz w:val="24"/>
          <w:szCs w:val="24"/>
          <w:lang w:val="en"/>
        </w:rPr>
        <w:t xml:space="preserve">1.1 </w:t>
      </w:r>
      <w:r>
        <w:rPr>
          <w:rFonts w:ascii="Times New Roman" w:hAnsi="Times New Roman" w:cs="Times New Roman"/>
          <w:color w:val="333333"/>
          <w:sz w:val="24"/>
          <w:szCs w:val="24"/>
        </w:rPr>
        <w:t>The standard herein (the "</w:t>
      </w:r>
      <w:r>
        <w:rPr>
          <w:rFonts w:ascii="Times New Roman" w:hAnsi="Times New Roman" w:cs="Times New Roman"/>
          <w:b/>
          <w:bCs/>
          <w:color w:val="333333"/>
          <w:sz w:val="24"/>
          <w:szCs w:val="24"/>
        </w:rPr>
        <w:t>Standard</w:t>
      </w:r>
      <w:r>
        <w:rPr>
          <w:rFonts w:ascii="Times New Roman" w:hAnsi="Times New Roman" w:cs="Times New Roman"/>
          <w:color w:val="333333"/>
          <w:sz w:val="24"/>
          <w:szCs w:val="24"/>
        </w:rPr>
        <w:t>") stipulates the quality standards for PP delivered at DCE.</w:t>
      </w:r>
    </w:p>
    <w:p>
      <w:pPr>
        <w:shd w:val="clear" w:color="auto" w:fill="FFFFFF"/>
        <w:snapToGrid w:val="0"/>
        <w:spacing w:after="200" w:line="288" w:lineRule="auto"/>
        <w:ind w:left="574"/>
        <w:rPr>
          <w:rFonts w:ascii="Times New Roman" w:hAnsi="Times New Roman" w:cs="Times New Roman"/>
          <w:color w:val="333333"/>
          <w:sz w:val="24"/>
          <w:szCs w:val="24"/>
        </w:rPr>
      </w:pPr>
      <w:r>
        <w:rPr>
          <w:rFonts w:hint="default" w:ascii="Times New Roman" w:hAnsi="Times New Roman" w:cs="Times New Roman"/>
          <w:color w:val="333333"/>
          <w:sz w:val="24"/>
          <w:szCs w:val="24"/>
          <w:lang w:val="en"/>
        </w:rPr>
        <w:t xml:space="preserve">1.2 </w:t>
      </w:r>
      <w:r>
        <w:rPr>
          <w:rFonts w:ascii="Times New Roman" w:hAnsi="Times New Roman" w:cs="Times New Roman"/>
          <w:color w:val="333333"/>
          <w:sz w:val="24"/>
          <w:szCs w:val="24"/>
        </w:rPr>
        <w:t>The Standard applies to standard products delivered under the PP futures contract of DCE.</w:t>
      </w:r>
    </w:p>
    <w:p>
      <w:pPr>
        <w:shd w:val="clear" w:color="auto" w:fill="FFFFFF"/>
        <w:snapToGrid w:val="0"/>
        <w:spacing w:after="200" w:line="288" w:lineRule="auto"/>
        <w:ind w:left="567" w:hanging="567"/>
        <w:rPr>
          <w:rFonts w:ascii="Times New Roman" w:hAnsi="Times New Roman" w:cs="Times New Roman"/>
          <w:color w:val="333333"/>
          <w:sz w:val="24"/>
          <w:szCs w:val="24"/>
        </w:rPr>
      </w:pPr>
      <w:r>
        <w:rPr>
          <w:rFonts w:hint="default" w:ascii="Times New Roman" w:hAnsi="Times New Roman" w:cs="Times New Roman"/>
          <w:b/>
          <w:bCs/>
          <w:color w:val="333333"/>
          <w:sz w:val="24"/>
          <w:szCs w:val="24"/>
          <w:lang w:val="en"/>
        </w:rPr>
        <w:t xml:space="preserve">2 </w:t>
      </w:r>
      <w:r>
        <w:rPr>
          <w:rFonts w:ascii="Times New Roman" w:hAnsi="Times New Roman" w:cs="Times New Roman"/>
          <w:b/>
          <w:bCs/>
          <w:color w:val="333333"/>
          <w:sz w:val="24"/>
          <w:szCs w:val="24"/>
        </w:rPr>
        <w:t>Cited rules and standards</w:t>
      </w:r>
    </w:p>
    <w:p>
      <w:pPr>
        <w:shd w:val="clear" w:color="auto" w:fill="FFFFFF"/>
        <w:snapToGrid w:val="0"/>
        <w:spacing w:after="200" w:line="288" w:lineRule="auto"/>
        <w:ind w:left="420"/>
        <w:rPr>
          <w:rFonts w:ascii="Times New Roman" w:hAnsi="Times New Roman" w:cs="Times New Roman"/>
          <w:color w:val="333333"/>
          <w:sz w:val="24"/>
          <w:szCs w:val="24"/>
        </w:rPr>
      </w:pPr>
      <w:r>
        <w:rPr>
          <w:rFonts w:ascii="Times New Roman" w:hAnsi="Times New Roman" w:cs="Times New Roman"/>
          <w:color w:val="333333"/>
          <w:sz w:val="24"/>
          <w:szCs w:val="24"/>
        </w:rPr>
        <w:t xml:space="preserve">The provisions of the following documents are incorporated as the provisions of the Standard by reference. For those cited documents noted with dates, all of their following </w:t>
      </w:r>
      <w:r>
        <w:rPr>
          <w:rFonts w:ascii="Times New Roman" w:hAnsi="Times New Roman" w:cs="Times New Roman"/>
          <w:i/>
          <w:iCs/>
          <w:color w:val="333333"/>
          <w:sz w:val="24"/>
          <w:szCs w:val="24"/>
        </w:rPr>
        <w:t>amendments</w:t>
      </w:r>
      <w:r>
        <w:rPr>
          <w:rFonts w:ascii="Times New Roman" w:hAnsi="Times New Roman" w:cs="Times New Roman"/>
          <w:color w:val="333333"/>
          <w:sz w:val="24"/>
          <w:szCs w:val="24"/>
        </w:rPr>
        <w:t xml:space="preserve"> (excluding corrections) and revised versions shall not be applied to the Standard; for those without noted dates, their latest versions shall be applied to the Standard.</w:t>
      </w:r>
    </w:p>
    <w:p>
      <w:pPr>
        <w:shd w:val="clear" w:color="auto" w:fill="FFFFFF"/>
        <w:snapToGrid w:val="0"/>
        <w:spacing w:after="200" w:line="288" w:lineRule="auto"/>
        <w:ind w:left="420"/>
        <w:rPr>
          <w:rFonts w:ascii="Times New Roman" w:hAnsi="Times New Roman" w:cs="Times New Roman"/>
          <w:i/>
          <w:iCs/>
          <w:color w:val="333333"/>
          <w:sz w:val="24"/>
          <w:szCs w:val="24"/>
        </w:rPr>
      </w:pPr>
      <w:r>
        <w:rPr>
          <w:rFonts w:ascii="Times New Roman" w:hAnsi="Times New Roman" w:cs="Times New Roman"/>
          <w:i/>
          <w:iCs/>
          <w:color w:val="333333"/>
          <w:sz w:val="24"/>
          <w:szCs w:val="24"/>
        </w:rPr>
        <w:t>GB/T 6678 General Rules for Sampling of Chemical Products</w:t>
      </w:r>
    </w:p>
    <w:p>
      <w:pPr>
        <w:shd w:val="clear" w:color="auto" w:fill="FFFFFF"/>
        <w:snapToGrid w:val="0"/>
        <w:spacing w:after="200" w:line="288" w:lineRule="auto"/>
        <w:ind w:left="420"/>
        <w:rPr>
          <w:rFonts w:ascii="Times New Roman" w:hAnsi="Times New Roman" w:cs="Times New Roman"/>
          <w:i/>
          <w:iCs/>
          <w:color w:val="333333"/>
          <w:sz w:val="24"/>
          <w:szCs w:val="24"/>
        </w:rPr>
      </w:pPr>
      <w:r>
        <w:rPr>
          <w:rFonts w:ascii="Times New Roman" w:hAnsi="Times New Roman" w:cs="Times New Roman"/>
          <w:i/>
          <w:iCs/>
          <w:color w:val="333333"/>
          <w:sz w:val="24"/>
          <w:szCs w:val="24"/>
        </w:rPr>
        <w:t>GB/T 6679 General Rules for Sampling of Solid Chemical Products</w:t>
      </w:r>
    </w:p>
    <w:p>
      <w:pPr>
        <w:shd w:val="clear" w:color="auto" w:fill="FFFFFF"/>
        <w:snapToGrid w:val="0"/>
        <w:spacing w:after="200" w:line="288" w:lineRule="auto"/>
        <w:ind w:left="420"/>
        <w:rPr>
          <w:rFonts w:ascii="Times New Roman" w:hAnsi="Times New Roman" w:cs="Times New Roman"/>
          <w:i/>
          <w:iCs/>
          <w:color w:val="333333"/>
          <w:sz w:val="24"/>
          <w:szCs w:val="24"/>
        </w:rPr>
      </w:pPr>
      <w:r>
        <w:rPr>
          <w:rFonts w:ascii="Times New Roman" w:hAnsi="Times New Roman" w:cs="Times New Roman"/>
          <w:i/>
          <w:iCs/>
          <w:color w:val="333333"/>
          <w:sz w:val="24"/>
          <w:szCs w:val="24"/>
        </w:rPr>
        <w:t>GB/T 12670 Polypropylene (PP) Resin</w:t>
      </w:r>
    </w:p>
    <w:p>
      <w:pPr>
        <w:shd w:val="clear" w:color="auto" w:fill="FFFFFF"/>
        <w:snapToGrid w:val="0"/>
        <w:spacing w:after="200" w:line="288" w:lineRule="auto"/>
        <w:ind w:left="567" w:hanging="567"/>
        <w:rPr>
          <w:rFonts w:ascii="Times New Roman" w:hAnsi="Times New Roman" w:cs="Times New Roman"/>
          <w:b/>
          <w:bCs/>
          <w:color w:val="333333"/>
          <w:sz w:val="24"/>
          <w:szCs w:val="24"/>
        </w:rPr>
      </w:pPr>
      <w:r>
        <w:rPr>
          <w:rFonts w:hint="default" w:ascii="Times New Roman" w:hAnsi="Times New Roman" w:cs="Times New Roman"/>
          <w:b/>
          <w:bCs/>
          <w:color w:val="333333"/>
          <w:sz w:val="24"/>
          <w:szCs w:val="24"/>
          <w:lang w:val="en"/>
        </w:rPr>
        <w:t xml:space="preserve">3 </w:t>
      </w:r>
      <w:r>
        <w:rPr>
          <w:rFonts w:ascii="Times New Roman" w:hAnsi="Times New Roman" w:cs="Times New Roman"/>
          <w:b/>
          <w:bCs/>
          <w:color w:val="333333"/>
          <w:sz w:val="24"/>
          <w:szCs w:val="24"/>
        </w:rPr>
        <w:t>Terms and Definitions</w:t>
      </w:r>
    </w:p>
    <w:p>
      <w:pPr>
        <w:shd w:val="clear" w:color="auto" w:fill="FFFFFF"/>
        <w:snapToGrid w:val="0"/>
        <w:spacing w:after="200" w:line="288" w:lineRule="auto"/>
        <w:ind w:left="420"/>
        <w:rPr>
          <w:rFonts w:ascii="Times New Roman" w:hAnsi="Times New Roman" w:cs="Times New Roman"/>
          <w:color w:val="333333"/>
          <w:sz w:val="24"/>
          <w:szCs w:val="24"/>
        </w:rPr>
      </w:pPr>
      <w:r>
        <w:rPr>
          <w:rFonts w:ascii="Times New Roman" w:hAnsi="Times New Roman" w:cs="Times New Roman"/>
          <w:color w:val="333333"/>
          <w:sz w:val="24"/>
          <w:szCs w:val="24"/>
        </w:rPr>
        <w:t xml:space="preserve">Subject to relevant rules on terms and definitions of </w:t>
      </w:r>
      <w:r>
        <w:rPr>
          <w:rFonts w:ascii="Times New Roman" w:hAnsi="Times New Roman" w:cs="Times New Roman"/>
          <w:i/>
          <w:iCs/>
          <w:color w:val="333333"/>
          <w:sz w:val="24"/>
          <w:szCs w:val="24"/>
        </w:rPr>
        <w:t>GB/T 12670</w:t>
      </w:r>
      <w:r>
        <w:rPr>
          <w:rFonts w:ascii="Times New Roman" w:hAnsi="Times New Roman" w:cs="Times New Roman"/>
          <w:color w:val="333333"/>
          <w:sz w:val="24"/>
          <w:szCs w:val="24"/>
        </w:rPr>
        <w:t xml:space="preserve"> and its cited rules and </w:t>
      </w:r>
      <w:r>
        <w:rPr>
          <w:rFonts w:ascii="Times New Roman" w:hAnsi="Times New Roman" w:cs="Times New Roman"/>
          <w:i/>
          <w:iCs/>
          <w:color w:val="333333"/>
          <w:sz w:val="24"/>
          <w:szCs w:val="24"/>
        </w:rPr>
        <w:t>standards</w:t>
      </w:r>
      <w:r>
        <w:rPr>
          <w:rFonts w:ascii="Times New Roman" w:hAnsi="Times New Roman" w:cs="Times New Roman"/>
          <w:color w:val="333333"/>
          <w:sz w:val="24"/>
          <w:szCs w:val="24"/>
        </w:rPr>
        <w:t>.</w:t>
      </w:r>
    </w:p>
    <w:p>
      <w:pPr>
        <w:shd w:val="clear" w:color="auto" w:fill="FFFFFF"/>
        <w:snapToGrid w:val="0"/>
        <w:spacing w:after="200" w:line="288" w:lineRule="auto"/>
        <w:ind w:left="567" w:hanging="567"/>
        <w:rPr>
          <w:rFonts w:ascii="Times New Roman" w:hAnsi="Times New Roman" w:cs="Times New Roman"/>
          <w:b/>
          <w:bCs/>
          <w:color w:val="333333"/>
          <w:sz w:val="24"/>
          <w:szCs w:val="24"/>
        </w:rPr>
      </w:pPr>
      <w:r>
        <w:rPr>
          <w:rFonts w:hint="default" w:ascii="Times New Roman" w:hAnsi="Times New Roman" w:cs="Times New Roman"/>
          <w:b/>
          <w:bCs/>
          <w:color w:val="333333"/>
          <w:sz w:val="24"/>
          <w:szCs w:val="24"/>
          <w:lang w:val="en"/>
        </w:rPr>
        <w:t xml:space="preserve">4 </w:t>
      </w:r>
      <w:r>
        <w:rPr>
          <w:rFonts w:ascii="Times New Roman" w:hAnsi="Times New Roman" w:cs="Times New Roman"/>
          <w:b/>
          <w:bCs/>
          <w:color w:val="333333"/>
          <w:sz w:val="24"/>
          <w:szCs w:val="24"/>
        </w:rPr>
        <w:t>Technical requirements</w:t>
      </w:r>
    </w:p>
    <w:p>
      <w:pPr>
        <w:shd w:val="clear" w:color="auto" w:fill="FFFFFF"/>
        <w:snapToGrid w:val="0"/>
        <w:spacing w:after="200" w:line="288" w:lineRule="auto"/>
        <w:ind w:left="574"/>
        <w:rPr>
          <w:rFonts w:ascii="Times New Roman" w:hAnsi="Times New Roman" w:cs="Times New Roman"/>
          <w:color w:val="333333"/>
          <w:sz w:val="24"/>
          <w:szCs w:val="24"/>
        </w:rPr>
      </w:pPr>
      <w:r>
        <w:rPr>
          <w:rFonts w:hint="default" w:ascii="Times New Roman" w:hAnsi="Times New Roman" w:cs="Times New Roman"/>
          <w:vanish/>
          <w:color w:val="333333"/>
          <w:sz w:val="24"/>
          <w:szCs w:val="24"/>
          <w:lang w:val="en"/>
        </w:rPr>
        <w:t xml:space="preserve">4.1 </w:t>
      </w:r>
      <w:r>
        <w:rPr>
          <w:rFonts w:ascii="Times New Roman" w:hAnsi="Times New Roman" w:cs="Times New Roman"/>
          <w:color w:val="333333"/>
          <w:sz w:val="24"/>
          <w:szCs w:val="24"/>
        </w:rPr>
        <w:t>PP shall be in granules with natural color and without impurities.</w:t>
      </w:r>
    </w:p>
    <w:p>
      <w:pPr>
        <w:shd w:val="clear" w:color="auto" w:fill="FFFFFF"/>
        <w:snapToGrid w:val="0"/>
        <w:spacing w:after="200" w:line="288" w:lineRule="auto"/>
        <w:ind w:left="574"/>
        <w:rPr>
          <w:rFonts w:ascii="Times New Roman" w:hAnsi="Times New Roman" w:cs="Times New Roman"/>
          <w:color w:val="333333"/>
          <w:sz w:val="24"/>
          <w:szCs w:val="24"/>
        </w:rPr>
      </w:pPr>
      <w:r>
        <w:rPr>
          <w:rFonts w:hint="default" w:ascii="Times New Roman" w:hAnsi="Times New Roman" w:cs="Times New Roman"/>
          <w:color w:val="333333"/>
          <w:sz w:val="24"/>
          <w:szCs w:val="24"/>
          <w:lang w:val="en"/>
        </w:rPr>
        <w:t xml:space="preserve">4.2 </w:t>
      </w:r>
      <w:r>
        <w:rPr>
          <w:rFonts w:ascii="Times New Roman" w:hAnsi="Times New Roman" w:cs="Times New Roman"/>
          <w:color w:val="333333"/>
          <w:sz w:val="24"/>
          <w:szCs w:val="24"/>
        </w:rPr>
        <w:t>The quality of PP shall meet the quality requirements in Table 1.</w:t>
      </w:r>
    </w:p>
    <w:p>
      <w:pPr>
        <w:shd w:val="clear" w:color="auto" w:fill="FFFFFF"/>
        <w:snapToGrid w:val="0"/>
        <w:spacing w:after="200" w:line="288" w:lineRule="auto"/>
        <w:ind w:left="567"/>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Table 1: PP Delivery Quality Standards</w:t>
      </w:r>
    </w:p>
    <w:tbl>
      <w:tblPr>
        <w:tblStyle w:val="8"/>
        <w:tblW w:w="779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1756"/>
        <w:gridCol w:w="184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gridSpan w:val="2"/>
            <w:tcBorders>
              <w:top w:val="single" w:color="auto" w:sz="4" w:space="0"/>
              <w:left w:val="single" w:color="auto" w:sz="4" w:space="0"/>
              <w:bottom w:val="single" w:color="auto" w:sz="4" w:space="0"/>
              <w:right w:val="single" w:color="auto" w:sz="4" w:space="0"/>
            </w:tcBorders>
          </w:tcPr>
          <w:p>
            <w:pPr>
              <w:snapToGrid w:val="0"/>
              <w:spacing w:after="200" w:line="288"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Testing Items</w:t>
            </w:r>
          </w:p>
        </w:tc>
        <w:tc>
          <w:tcPr>
            <w:tcW w:w="1843"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Unit</w:t>
            </w:r>
          </w:p>
        </w:tc>
        <w:tc>
          <w:tcPr>
            <w:tcW w:w="1985"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Quality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Merge w:val="restart"/>
            <w:tcBorders>
              <w:top w:val="nil"/>
              <w:left w:val="single" w:color="auto" w:sz="4" w:space="0"/>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Granule Appearance</w:t>
            </w:r>
          </w:p>
        </w:tc>
        <w:tc>
          <w:tcPr>
            <w:tcW w:w="1756"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Black Granules</w:t>
            </w:r>
          </w:p>
        </w:tc>
        <w:tc>
          <w:tcPr>
            <w:tcW w:w="1843"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Granules/kg</w:t>
            </w:r>
          </w:p>
        </w:tc>
        <w:tc>
          <w:tcPr>
            <w:tcW w:w="1985"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s="Times New Roman"/>
                <w:color w:val="333333"/>
                <w:sz w:val="24"/>
                <w:szCs w:val="24"/>
              </w:rPr>
            </w:pPr>
          </w:p>
        </w:tc>
        <w:tc>
          <w:tcPr>
            <w:tcW w:w="1756"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Colored Granules</w:t>
            </w:r>
          </w:p>
        </w:tc>
        <w:tc>
          <w:tcPr>
            <w:tcW w:w="1843"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Granules/kg</w:t>
            </w:r>
          </w:p>
        </w:tc>
        <w:tc>
          <w:tcPr>
            <w:tcW w:w="1985"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s="Times New Roman"/>
                <w:color w:val="333333"/>
                <w:sz w:val="24"/>
                <w:szCs w:val="24"/>
              </w:rPr>
            </w:pPr>
          </w:p>
        </w:tc>
        <w:tc>
          <w:tcPr>
            <w:tcW w:w="1756"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Oversized / Undersized Granules</w:t>
            </w:r>
          </w:p>
        </w:tc>
        <w:tc>
          <w:tcPr>
            <w:tcW w:w="1843"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g/kg</w:t>
            </w:r>
          </w:p>
        </w:tc>
        <w:tc>
          <w:tcPr>
            <w:tcW w:w="1985"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gridSpan w:val="2"/>
            <w:tcBorders>
              <w:top w:val="single" w:color="auto" w:sz="4" w:space="0"/>
              <w:left w:val="single" w:color="auto" w:sz="4" w:space="0"/>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Melt Mass-flow Rate (MFR)</w:t>
            </w:r>
          </w:p>
        </w:tc>
        <w:tc>
          <w:tcPr>
            <w:tcW w:w="1843"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g/10min</w:t>
            </w:r>
          </w:p>
        </w:tc>
        <w:tc>
          <w:tcPr>
            <w:tcW w:w="1985"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≥2.5 and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gridSpan w:val="2"/>
            <w:tcBorders>
              <w:top w:val="single" w:color="auto" w:sz="4" w:space="0"/>
              <w:left w:val="single" w:color="auto" w:sz="4" w:space="0"/>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Isotactic Index</w:t>
            </w:r>
          </w:p>
        </w:tc>
        <w:tc>
          <w:tcPr>
            <w:tcW w:w="1843"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w:t>
            </w:r>
          </w:p>
        </w:tc>
        <w:tc>
          <w:tcPr>
            <w:tcW w:w="1985"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gridSpan w:val="2"/>
            <w:tcBorders>
              <w:top w:val="single" w:color="auto" w:sz="4" w:space="0"/>
              <w:left w:val="single" w:color="auto" w:sz="4" w:space="0"/>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Ash Content (Mass Fraction)</w:t>
            </w:r>
          </w:p>
        </w:tc>
        <w:tc>
          <w:tcPr>
            <w:tcW w:w="1843"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w:t>
            </w:r>
          </w:p>
        </w:tc>
        <w:tc>
          <w:tcPr>
            <w:tcW w:w="1985"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3" w:type="dxa"/>
            <w:vMerge w:val="restart"/>
            <w:tcBorders>
              <w:top w:val="nil"/>
              <w:left w:val="single" w:color="auto" w:sz="4" w:space="0"/>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Tensile Properties</w:t>
            </w:r>
          </w:p>
        </w:tc>
        <w:tc>
          <w:tcPr>
            <w:tcW w:w="1756"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Tensile Yield Stress</w:t>
            </w:r>
          </w:p>
        </w:tc>
        <w:tc>
          <w:tcPr>
            <w:tcW w:w="1843"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MPa</w:t>
            </w:r>
          </w:p>
        </w:tc>
        <w:tc>
          <w:tcPr>
            <w:tcW w:w="1985"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s="Times New Roman"/>
                <w:color w:val="333333"/>
                <w:sz w:val="24"/>
                <w:szCs w:val="24"/>
              </w:rPr>
            </w:pPr>
          </w:p>
        </w:tc>
        <w:tc>
          <w:tcPr>
            <w:tcW w:w="1756"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Tensile Break Stress</w:t>
            </w:r>
          </w:p>
        </w:tc>
        <w:tc>
          <w:tcPr>
            <w:tcW w:w="1843"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MPa</w:t>
            </w:r>
          </w:p>
        </w:tc>
        <w:tc>
          <w:tcPr>
            <w:tcW w:w="1985"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s="Times New Roman"/>
                <w:color w:val="333333"/>
                <w:sz w:val="24"/>
                <w:szCs w:val="24"/>
              </w:rPr>
            </w:pPr>
          </w:p>
        </w:tc>
        <w:tc>
          <w:tcPr>
            <w:tcW w:w="1756"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Nominal Tensile Strain at Break</w:t>
            </w:r>
          </w:p>
        </w:tc>
        <w:tc>
          <w:tcPr>
            <w:tcW w:w="1843"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w:t>
            </w:r>
          </w:p>
        </w:tc>
        <w:tc>
          <w:tcPr>
            <w:tcW w:w="1985" w:type="dxa"/>
            <w:tcBorders>
              <w:top w:val="single" w:color="auto" w:sz="4" w:space="0"/>
              <w:left w:val="nil"/>
              <w:bottom w:val="single" w:color="auto" w:sz="4" w:space="0"/>
              <w:right w:val="single" w:color="auto" w:sz="4" w:space="0"/>
            </w:tcBorders>
          </w:tcPr>
          <w:p>
            <w:pPr>
              <w:snapToGrid w:val="0"/>
              <w:spacing w:after="200" w:line="288" w:lineRule="auto"/>
              <w:rPr>
                <w:rFonts w:ascii="Times New Roman" w:hAnsi="Times New Roman" w:cs="Times New Roman"/>
                <w:color w:val="333333"/>
                <w:sz w:val="24"/>
                <w:szCs w:val="24"/>
              </w:rPr>
            </w:pPr>
            <w:r>
              <w:rPr>
                <w:rFonts w:ascii="Times New Roman" w:hAnsi="Times New Roman" w:cs="Times New Roman"/>
                <w:color w:val="333333"/>
                <w:sz w:val="24"/>
                <w:szCs w:val="24"/>
              </w:rPr>
              <w:t>＞150</w:t>
            </w:r>
          </w:p>
        </w:tc>
      </w:tr>
    </w:tbl>
    <w:p>
      <w:pPr>
        <w:shd w:val="clear" w:color="auto" w:fill="FFFFFF"/>
        <w:snapToGrid w:val="0"/>
        <w:spacing w:after="200" w:line="288" w:lineRule="auto"/>
        <w:ind w:left="567" w:hanging="567"/>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
    <w:p>
      <w:pPr>
        <w:shd w:val="clear" w:color="auto" w:fill="FFFFFF"/>
        <w:snapToGrid w:val="0"/>
        <w:spacing w:after="200" w:line="288" w:lineRule="auto"/>
        <w:ind w:left="567" w:hanging="567"/>
        <w:rPr>
          <w:rFonts w:ascii="Times New Roman" w:hAnsi="Times New Roman" w:cs="Times New Roman"/>
          <w:color w:val="333333"/>
          <w:sz w:val="24"/>
          <w:szCs w:val="24"/>
        </w:rPr>
      </w:pPr>
      <w:r>
        <w:rPr>
          <w:rFonts w:ascii="Times New Roman" w:hAnsi="Times New Roman" w:cs="Times New Roman"/>
          <w:color w:val="333333"/>
          <w:sz w:val="24"/>
          <w:szCs w:val="24"/>
        </w:rPr>
        <w:t>4.2.1 The melt mass-flow rate (MFR) shall be greater than or equal to 2.5 g/10min while at the same time be less than or equal to 4.0 g/10min. Besides, the deviation between the MFR and the nominal value shall not exceed 30% of the nominal value.</w:t>
      </w:r>
    </w:p>
    <w:p>
      <w:pPr>
        <w:shd w:val="clear" w:color="auto" w:fill="FFFFFF"/>
        <w:snapToGrid w:val="0"/>
        <w:spacing w:after="200" w:line="288" w:lineRule="auto"/>
        <w:ind w:left="567" w:hanging="567"/>
        <w:rPr>
          <w:rFonts w:ascii="Times New Roman" w:hAnsi="Times New Roman" w:cs="Times New Roman"/>
          <w:color w:val="333333"/>
          <w:sz w:val="24"/>
          <w:szCs w:val="24"/>
        </w:rPr>
      </w:pPr>
      <w:r>
        <w:rPr>
          <w:rFonts w:hint="default" w:ascii="Times New Roman" w:hAnsi="Times New Roman" w:cs="Times New Roman"/>
          <w:b/>
          <w:bCs/>
          <w:color w:val="333333"/>
          <w:sz w:val="24"/>
          <w:szCs w:val="24"/>
          <w:lang w:val="en"/>
        </w:rPr>
        <w:t xml:space="preserve">5 </w:t>
      </w:r>
      <w:r>
        <w:rPr>
          <w:rFonts w:ascii="Times New Roman" w:hAnsi="Times New Roman" w:cs="Times New Roman"/>
          <w:b/>
          <w:bCs/>
          <w:color w:val="333333"/>
          <w:sz w:val="24"/>
          <w:szCs w:val="24"/>
        </w:rPr>
        <w:t>Testing methods</w:t>
      </w:r>
    </w:p>
    <w:p>
      <w:pPr>
        <w:shd w:val="clear" w:color="auto" w:fill="FFFFFF"/>
        <w:snapToGrid w:val="0"/>
        <w:spacing w:after="200" w:line="288" w:lineRule="auto"/>
        <w:ind w:left="574"/>
        <w:rPr>
          <w:rFonts w:ascii="Times New Roman" w:hAnsi="Times New Roman" w:cs="Times New Roman"/>
          <w:color w:val="333333"/>
          <w:sz w:val="24"/>
          <w:szCs w:val="24"/>
        </w:rPr>
      </w:pPr>
      <w:r>
        <w:rPr>
          <w:rFonts w:hint="default" w:ascii="Times New Roman" w:hAnsi="Times New Roman" w:cs="Times New Roman"/>
          <w:vanish/>
          <w:color w:val="333333"/>
          <w:sz w:val="24"/>
          <w:szCs w:val="24"/>
          <w:lang w:val="en"/>
        </w:rPr>
        <w:t xml:space="preserve">5.1 </w:t>
      </w:r>
      <w:r>
        <w:rPr>
          <w:rFonts w:ascii="Times New Roman" w:hAnsi="Times New Roman" w:cs="Times New Roman"/>
          <w:color w:val="333333"/>
          <w:sz w:val="24"/>
          <w:szCs w:val="24"/>
        </w:rPr>
        <w:t>Sampling requirements shall be subject to GB/T 6678 and GB/T 6679;</w:t>
      </w:r>
    </w:p>
    <w:p>
      <w:pPr>
        <w:shd w:val="clear" w:color="auto" w:fill="FFFFFF"/>
        <w:snapToGrid w:val="0"/>
        <w:spacing w:after="200" w:line="288" w:lineRule="auto"/>
        <w:ind w:left="574"/>
        <w:rPr>
          <w:rFonts w:ascii="Times New Roman" w:hAnsi="Times New Roman" w:cs="Times New Roman"/>
          <w:color w:val="333333"/>
          <w:sz w:val="24"/>
          <w:szCs w:val="24"/>
        </w:rPr>
      </w:pPr>
      <w:r>
        <w:rPr>
          <w:rFonts w:hint="default" w:ascii="Times New Roman" w:hAnsi="Times New Roman" w:cs="Times New Roman"/>
          <w:color w:val="333333"/>
          <w:sz w:val="24"/>
          <w:szCs w:val="24"/>
          <w:lang w:val="en"/>
        </w:rPr>
        <w:t xml:space="preserve">5.2 </w:t>
      </w:r>
      <w:r>
        <w:rPr>
          <w:rFonts w:ascii="Times New Roman" w:hAnsi="Times New Roman" w:cs="Times New Roman"/>
          <w:color w:val="333333"/>
          <w:sz w:val="24"/>
          <w:szCs w:val="24"/>
        </w:rPr>
        <w:t>Quality targets inspection shall be subject to GB/T 12670.</w:t>
      </w:r>
    </w:p>
    <w:p>
      <w:pPr>
        <w:shd w:val="clear" w:color="auto" w:fill="FFFFFF"/>
        <w:snapToGrid w:val="0"/>
        <w:spacing w:after="200" w:line="288" w:lineRule="auto"/>
        <w:ind w:left="567" w:hanging="567"/>
        <w:rPr>
          <w:rFonts w:ascii="Times New Roman" w:hAnsi="Times New Roman" w:cs="Times New Roman"/>
          <w:color w:val="333333"/>
          <w:sz w:val="24"/>
          <w:szCs w:val="24"/>
        </w:rPr>
      </w:pPr>
      <w:r>
        <w:rPr>
          <w:rFonts w:hint="default" w:ascii="Times New Roman" w:hAnsi="Times New Roman" w:cs="Times New Roman"/>
          <w:b/>
          <w:bCs/>
          <w:color w:val="333333"/>
          <w:sz w:val="24"/>
          <w:szCs w:val="24"/>
          <w:lang w:val="en"/>
        </w:rPr>
        <w:t xml:space="preserve">6 </w:t>
      </w:r>
      <w:r>
        <w:rPr>
          <w:rFonts w:ascii="Times New Roman" w:hAnsi="Times New Roman" w:cs="Times New Roman"/>
          <w:b/>
          <w:bCs/>
          <w:color w:val="333333"/>
          <w:sz w:val="24"/>
          <w:szCs w:val="24"/>
        </w:rPr>
        <w:t>Labeling, packaging and storage</w:t>
      </w:r>
    </w:p>
    <w:p>
      <w:pPr>
        <w:shd w:val="clear" w:color="auto" w:fill="FFFFFF"/>
        <w:snapToGrid w:val="0"/>
        <w:spacing w:after="200" w:line="288" w:lineRule="auto"/>
        <w:ind w:left="574"/>
        <w:rPr>
          <w:rFonts w:ascii="Times New Roman" w:hAnsi="Times New Roman" w:cs="Times New Roman"/>
          <w:color w:val="333333"/>
          <w:sz w:val="24"/>
          <w:szCs w:val="24"/>
        </w:rPr>
      </w:pPr>
      <w:r>
        <w:rPr>
          <w:rFonts w:hint="default" w:ascii="Times New Roman" w:hAnsi="Times New Roman" w:cs="Times New Roman"/>
          <w:vanish/>
          <w:color w:val="333333"/>
          <w:sz w:val="24"/>
          <w:szCs w:val="24"/>
          <w:lang w:val="en"/>
        </w:rPr>
        <w:t xml:space="preserve">6.1 </w:t>
      </w:r>
      <w:r>
        <w:rPr>
          <w:rFonts w:ascii="Times New Roman" w:hAnsi="Times New Roman" w:cs="Times New Roman"/>
          <w:color w:val="333333"/>
          <w:sz w:val="24"/>
          <w:szCs w:val="24"/>
        </w:rPr>
        <w:t>Labeling</w:t>
      </w:r>
    </w:p>
    <w:p>
      <w:pPr>
        <w:shd w:val="clear" w:color="auto" w:fill="FFFFFF"/>
        <w:snapToGrid w:val="0"/>
        <w:spacing w:after="200" w:line="288" w:lineRule="auto"/>
        <w:ind w:left="567"/>
        <w:rPr>
          <w:rFonts w:ascii="Times New Roman" w:hAnsi="Times New Roman" w:cs="Times New Roman"/>
          <w:color w:val="333333"/>
          <w:sz w:val="24"/>
          <w:szCs w:val="24"/>
        </w:rPr>
      </w:pPr>
      <w:r>
        <w:rPr>
          <w:rFonts w:ascii="Times New Roman" w:hAnsi="Times New Roman" w:cs="Times New Roman"/>
          <w:color w:val="333333"/>
          <w:sz w:val="24"/>
          <w:szCs w:val="24"/>
        </w:rPr>
        <w:t>Labels for PP products shall be clearly added to the packaging bags. The labels shall include the following information: trademark, manufacturer's name, standard number, product name, grade, production date, batch number and net weight, etc.</w:t>
      </w:r>
    </w:p>
    <w:p>
      <w:pPr>
        <w:shd w:val="clear" w:color="auto" w:fill="FFFFFF"/>
        <w:snapToGrid w:val="0"/>
        <w:spacing w:after="200" w:line="288" w:lineRule="auto"/>
        <w:ind w:left="574"/>
        <w:rPr>
          <w:rFonts w:ascii="Times New Roman" w:hAnsi="Times New Roman" w:cs="Times New Roman"/>
          <w:color w:val="333333"/>
          <w:sz w:val="24"/>
          <w:szCs w:val="24"/>
        </w:rPr>
      </w:pPr>
      <w:r>
        <w:rPr>
          <w:rFonts w:hint="default" w:ascii="Times New Roman" w:hAnsi="Times New Roman" w:cs="Times New Roman"/>
          <w:color w:val="333333"/>
          <w:sz w:val="24"/>
          <w:szCs w:val="24"/>
          <w:lang w:val="en"/>
        </w:rPr>
        <w:t xml:space="preserve">6.2 </w:t>
      </w:r>
      <w:r>
        <w:rPr>
          <w:rFonts w:ascii="Times New Roman" w:hAnsi="Times New Roman" w:cs="Times New Roman"/>
          <w:color w:val="333333"/>
          <w:sz w:val="24"/>
          <w:szCs w:val="24"/>
        </w:rPr>
        <w:t>Packaging</w:t>
      </w:r>
    </w:p>
    <w:p>
      <w:pPr>
        <w:shd w:val="clear" w:color="auto" w:fill="FFFFFF"/>
        <w:snapToGrid w:val="0"/>
        <w:spacing w:after="200" w:line="288" w:lineRule="auto"/>
        <w:ind w:left="567"/>
        <w:rPr>
          <w:rFonts w:ascii="Times New Roman" w:hAnsi="Times New Roman" w:cs="Times New Roman"/>
          <w:color w:val="333333"/>
          <w:sz w:val="24"/>
          <w:szCs w:val="24"/>
        </w:rPr>
      </w:pPr>
      <w:r>
        <w:rPr>
          <w:rFonts w:ascii="Times New Roman" w:hAnsi="Times New Roman" w:cs="Times New Roman"/>
          <w:color w:val="333333"/>
          <w:sz w:val="24"/>
          <w:szCs w:val="24"/>
        </w:rPr>
        <w:t>Products shall be packaged in the original manufacturer's packaging bags or other recognized packaging bags by the original manufacturer, and the packaged product shall be in net weigh of 25 ± 0.2 kg per bag. Packaging materials shall be able to ensure that the product can be transported, piled and stored for many times without leaking or being contaminated, and shall be water-proof and dust-proof.</w:t>
      </w:r>
    </w:p>
    <w:p>
      <w:pPr>
        <w:shd w:val="clear" w:color="auto" w:fill="FFFFFF"/>
        <w:snapToGrid w:val="0"/>
        <w:spacing w:after="200" w:line="288" w:lineRule="auto"/>
        <w:ind w:left="574"/>
        <w:rPr>
          <w:rFonts w:ascii="Times New Roman" w:hAnsi="Times New Roman" w:cs="Times New Roman"/>
          <w:color w:val="333333"/>
          <w:sz w:val="24"/>
          <w:szCs w:val="24"/>
        </w:rPr>
      </w:pPr>
      <w:r>
        <w:rPr>
          <w:rFonts w:hint="default" w:ascii="Times New Roman" w:hAnsi="Times New Roman" w:cs="Times New Roman"/>
          <w:color w:val="333333"/>
          <w:sz w:val="24"/>
          <w:szCs w:val="24"/>
          <w:lang w:val="en"/>
        </w:rPr>
        <w:t xml:space="preserve">6.3 </w:t>
      </w:r>
      <w:r>
        <w:rPr>
          <w:rFonts w:ascii="Times New Roman" w:hAnsi="Times New Roman" w:cs="Times New Roman"/>
          <w:color w:val="333333"/>
          <w:sz w:val="24"/>
          <w:szCs w:val="24"/>
        </w:rPr>
        <w:t>Storage</w:t>
      </w:r>
    </w:p>
    <w:p>
      <w:pPr>
        <w:shd w:val="clear" w:color="auto" w:fill="FFFFFF"/>
        <w:snapToGrid w:val="0"/>
        <w:spacing w:after="200" w:line="288" w:lineRule="auto"/>
        <w:ind w:left="567"/>
        <w:rPr>
          <w:rFonts w:ascii="Times New Roman" w:hAnsi="Times New Roman" w:cs="Times New Roman"/>
          <w:color w:val="333333"/>
          <w:sz w:val="24"/>
          <w:szCs w:val="24"/>
        </w:rPr>
      </w:pPr>
      <w:r>
        <w:rPr>
          <w:rFonts w:ascii="Times New Roman" w:hAnsi="Times New Roman" w:cs="Times New Roman"/>
          <w:color w:val="333333"/>
          <w:sz w:val="24"/>
          <w:szCs w:val="24"/>
        </w:rPr>
        <w:t>PP shall be stored in warehouses that are well-ventilated, dry, clean and equipped with adequate fire safety facilities. The materials shall be kept away from heat and direct sunlight, and shall be prohibited to store them in the open air.</w:t>
      </w:r>
    </w:p>
    <w:p>
      <w:pPr>
        <w:shd w:val="clear" w:color="auto" w:fill="FFFFFF"/>
        <w:snapToGrid w:val="0"/>
        <w:spacing w:after="200" w:line="288" w:lineRule="auto"/>
        <w:ind w:left="567" w:hanging="567"/>
        <w:rPr>
          <w:rFonts w:ascii="Times New Roman" w:hAnsi="Times New Roman" w:cs="Times New Roman"/>
          <w:color w:val="333333"/>
          <w:sz w:val="24"/>
          <w:szCs w:val="24"/>
        </w:rPr>
      </w:pPr>
      <w:r>
        <w:rPr>
          <w:rFonts w:hint="default" w:ascii="Times New Roman" w:hAnsi="Times New Roman" w:cs="Times New Roman"/>
          <w:b/>
          <w:bCs/>
          <w:color w:val="333333"/>
          <w:sz w:val="24"/>
          <w:szCs w:val="24"/>
          <w:lang w:val="en"/>
        </w:rPr>
        <w:t xml:space="preserve">7 </w:t>
      </w:r>
      <w:bookmarkStart w:id="3" w:name="_GoBack"/>
      <w:bookmarkEnd w:id="3"/>
      <w:r>
        <w:rPr>
          <w:rFonts w:ascii="Times New Roman" w:hAnsi="Times New Roman" w:cs="Times New Roman"/>
          <w:b/>
          <w:bCs/>
          <w:color w:val="333333"/>
          <w:sz w:val="24"/>
          <w:szCs w:val="24"/>
        </w:rPr>
        <w:t>Additional note</w:t>
      </w:r>
    </w:p>
    <w:p>
      <w:pPr>
        <w:shd w:val="clear" w:color="auto" w:fill="FFFFFF"/>
        <w:snapToGrid w:val="0"/>
        <w:spacing w:after="200" w:line="288" w:lineRule="auto"/>
        <w:ind w:left="420"/>
        <w:rPr>
          <w:rFonts w:ascii="Times New Roman" w:hAnsi="Times New Roman" w:cs="Times New Roman"/>
          <w:color w:val="333333"/>
          <w:sz w:val="24"/>
          <w:szCs w:val="24"/>
        </w:rPr>
      </w:pPr>
      <w:r>
        <w:rPr>
          <w:rFonts w:ascii="Times New Roman" w:hAnsi="Times New Roman" w:cs="Times New Roman"/>
          <w:color w:val="333333"/>
          <w:sz w:val="24"/>
          <w:szCs w:val="24"/>
        </w:rPr>
        <w:t>The Standard shall be subject to the interpretation of DCE.</w:t>
      </w:r>
    </w:p>
    <w:p>
      <w:pPr>
        <w:spacing w:after="200" w:line="288" w:lineRule="auto"/>
        <w:rPr>
          <w:rFonts w:ascii="Times New Roman" w:hAnsi="Times New Roman" w:cs="Times New Roman"/>
          <w:b/>
          <w:bCs/>
          <w:kern w:val="2"/>
          <w:sz w:val="24"/>
          <w:szCs w:val="24"/>
        </w:rPr>
      </w:pPr>
      <w:r>
        <w:rPr>
          <w:rFonts w:ascii="Times New Roman" w:hAnsi="Times New Roman" w:cs="Times New Roman"/>
          <w:b/>
          <w:bCs/>
          <w:sz w:val="24"/>
          <w:szCs w:val="24"/>
        </w:rPr>
        <w:t xml:space="preserve"> </w:t>
      </w:r>
    </w:p>
    <w:p>
      <w:pPr>
        <w:jc w:val="left"/>
        <w:rPr>
          <w:rFonts w:hint="eastAsia" w:ascii="Times New Roman" w:hAnsi="Times New Roman" w:cs="Times New Roman"/>
          <w:b/>
          <w:bCs/>
          <w:sz w:val="24"/>
          <w:szCs w:val="24"/>
        </w:rPr>
      </w:pPr>
      <w:r>
        <w:rPr>
          <w:rFonts w:ascii="Times New Roman" w:hAnsi="Times New Roman" w:cs="Times New Roman"/>
          <w:b/>
          <w:bCs/>
          <w:sz w:val="24"/>
          <w:szCs w:val="24"/>
        </w:rPr>
        <w:t>Annex 2:  List of Delivery Warehouses Designated for Polypropylene of Dalian Commodity Exchange.</w:t>
      </w:r>
      <w:bookmarkStart w:id="2" w:name="_Hlk533754950"/>
      <w:bookmarkEnd w:id="2"/>
      <w:r>
        <w:rPr>
          <w:rFonts w:ascii="Times New Roman" w:hAnsi="Times New Roman" w:cs="Times New Roman"/>
          <w:b/>
          <w:bCs/>
          <w:sz w:val="24"/>
          <w:szCs w:val="24"/>
        </w:rPr>
        <w:t xml:space="preserve"> </w:t>
      </w:r>
    </w:p>
    <w:p>
      <w:pPr>
        <w:jc w:val="left"/>
        <w:rPr>
          <w:rFonts w:ascii="Times New Roman" w:hAnsi="Times New Roman" w:cs="Times New Roman"/>
          <w:sz w:val="24"/>
          <w:szCs w:val="24"/>
        </w:rPr>
      </w:pPr>
      <w:r>
        <w:rPr>
          <w:rFonts w:ascii="Times New Roman" w:hAnsi="Times New Roman"/>
          <w:color w:val="333333"/>
          <w:sz w:val="24"/>
          <w:szCs w:val="24"/>
        </w:rPr>
        <w:t>(</w:t>
      </w:r>
      <w:r>
        <w:rPr>
          <w:rFonts w:ascii="Times New Roman" w:hAnsi="Times New Roman" w:cs="Times New Roman"/>
          <w:sz w:val="24"/>
          <w:szCs w:val="24"/>
        </w:rPr>
        <w:t>http://www.dce.com.cn/dalianshangpin/ywfw/ywzy/gypjgywzy/jgckgl/1810695/index.html)</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480732895"/>
      <w:docPartObj>
        <w:docPartGallery w:val="autotext"/>
      </w:docPartObj>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00" w:after="200" w:line="288" w:lineRule="auto"/>
      <w:jc w:val="right"/>
      <w:rPr>
        <w:rFonts w:ascii="Times New Roman" w:hAnsi="Times New Roman" w:cs="Times New Roman"/>
      </w:rPr>
    </w:pPr>
    <w:r>
      <w:rPr>
        <w:rFonts w:ascii="Times New Roman" w:hAnsi="Times New Roman" w:cs="Times New Roman"/>
        <w:i/>
        <w:sz w:val="18"/>
        <w:szCs w:val="18"/>
      </w:rPr>
      <w:t>Translation © Dalian Commodity Exchange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30347"/>
    <w:multiLevelType w:val="multilevel"/>
    <w:tmpl w:val="16B30347"/>
    <w:lvl w:ilvl="0" w:tentative="0">
      <w:start w:val="1"/>
      <w:numFmt w:val="decimal"/>
      <w:lvlText w:val="(%1)"/>
      <w:lvlJc w:val="left"/>
      <w:pPr>
        <w:ind w:left="1629" w:hanging="370"/>
      </w:pPr>
      <w:rPr>
        <w:rFonts w:hint="default" w:cs="Times New Roman"/>
      </w:rPr>
    </w:lvl>
    <w:lvl w:ilvl="1" w:tentative="0">
      <w:start w:val="1"/>
      <w:numFmt w:val="lowerLetter"/>
      <w:lvlText w:val="%2)"/>
      <w:lvlJc w:val="left"/>
      <w:pPr>
        <w:ind w:left="2099" w:hanging="420"/>
      </w:pPr>
      <w:rPr>
        <w:rFonts w:cs="Times New Roman"/>
      </w:rPr>
    </w:lvl>
    <w:lvl w:ilvl="2" w:tentative="0">
      <w:start w:val="1"/>
      <w:numFmt w:val="lowerRoman"/>
      <w:lvlText w:val="%3."/>
      <w:lvlJc w:val="right"/>
      <w:pPr>
        <w:ind w:left="2519" w:hanging="420"/>
      </w:pPr>
      <w:rPr>
        <w:rFonts w:cs="Times New Roman"/>
      </w:rPr>
    </w:lvl>
    <w:lvl w:ilvl="3" w:tentative="0">
      <w:start w:val="1"/>
      <w:numFmt w:val="decimal"/>
      <w:lvlText w:val="%4."/>
      <w:lvlJc w:val="left"/>
      <w:pPr>
        <w:ind w:left="2939" w:hanging="420"/>
      </w:pPr>
      <w:rPr>
        <w:rFonts w:cs="Times New Roman"/>
      </w:rPr>
    </w:lvl>
    <w:lvl w:ilvl="4" w:tentative="0">
      <w:start w:val="1"/>
      <w:numFmt w:val="lowerLetter"/>
      <w:lvlText w:val="%5)"/>
      <w:lvlJc w:val="left"/>
      <w:pPr>
        <w:ind w:left="3359" w:hanging="420"/>
      </w:pPr>
      <w:rPr>
        <w:rFonts w:cs="Times New Roman"/>
      </w:rPr>
    </w:lvl>
    <w:lvl w:ilvl="5" w:tentative="0">
      <w:start w:val="1"/>
      <w:numFmt w:val="lowerRoman"/>
      <w:lvlText w:val="%6."/>
      <w:lvlJc w:val="right"/>
      <w:pPr>
        <w:ind w:left="3779" w:hanging="420"/>
      </w:pPr>
      <w:rPr>
        <w:rFonts w:cs="Times New Roman"/>
      </w:rPr>
    </w:lvl>
    <w:lvl w:ilvl="6" w:tentative="0">
      <w:start w:val="1"/>
      <w:numFmt w:val="decimal"/>
      <w:lvlText w:val="%7."/>
      <w:lvlJc w:val="left"/>
      <w:pPr>
        <w:ind w:left="4199" w:hanging="420"/>
      </w:pPr>
      <w:rPr>
        <w:rFonts w:cs="Times New Roman"/>
      </w:rPr>
    </w:lvl>
    <w:lvl w:ilvl="7" w:tentative="0">
      <w:start w:val="1"/>
      <w:numFmt w:val="lowerLetter"/>
      <w:lvlText w:val="%8)"/>
      <w:lvlJc w:val="left"/>
      <w:pPr>
        <w:ind w:left="4619" w:hanging="420"/>
      </w:pPr>
      <w:rPr>
        <w:rFonts w:cs="Times New Roman"/>
      </w:rPr>
    </w:lvl>
    <w:lvl w:ilvl="8" w:tentative="0">
      <w:start w:val="1"/>
      <w:numFmt w:val="lowerRoman"/>
      <w:lvlText w:val="%9."/>
      <w:lvlJc w:val="right"/>
      <w:pPr>
        <w:ind w:left="5039" w:hanging="420"/>
      </w:pPr>
      <w:rPr>
        <w:rFonts w:cs="Times New Roman"/>
      </w:rPr>
    </w:lvl>
  </w:abstractNum>
  <w:abstractNum w:abstractNumId="1">
    <w:nsid w:val="32145483"/>
    <w:multiLevelType w:val="multilevel"/>
    <w:tmpl w:val="32145483"/>
    <w:lvl w:ilvl="0" w:tentative="0">
      <w:start w:val="1"/>
      <w:numFmt w:val="decimal"/>
      <w:lvlText w:val="Article %1"/>
      <w:lvlJc w:val="left"/>
      <w:pPr>
        <w:ind w:left="420" w:hanging="420"/>
      </w:pPr>
      <w:rPr>
        <w:rFonts w:hint="default" w:ascii="Times New Roman" w:hAnsi="Times New Roman" w:cs="Times New Roman"/>
        <w:b/>
        <w:sz w:val="24"/>
        <w:szCs w:val="24"/>
      </w:rPr>
    </w:lvl>
    <w:lvl w:ilvl="1" w:tentative="0">
      <w:start w:val="1"/>
      <w:numFmt w:val="decimal"/>
      <w:lvlText w:val="(%2)"/>
      <w:lvlJc w:val="left"/>
      <w:pPr>
        <w:ind w:left="780" w:hanging="360"/>
      </w:pPr>
      <w:rPr>
        <w:rFonts w:hint="default"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
    <w:nsid w:val="4505062A"/>
    <w:multiLevelType w:val="multilevel"/>
    <w:tmpl w:val="4505062A"/>
    <w:lvl w:ilvl="0" w:tentative="0">
      <w:start w:val="1"/>
      <w:numFmt w:val="decimal"/>
      <w:lvlText w:val="(%1)"/>
      <w:lvlJc w:val="left"/>
      <w:pPr>
        <w:ind w:left="1680" w:hanging="420"/>
      </w:pPr>
      <w:rPr>
        <w:rFonts w:hint="default" w:cs="Times New Roman"/>
      </w:rPr>
    </w:lvl>
    <w:lvl w:ilvl="1" w:tentative="0">
      <w:start w:val="1"/>
      <w:numFmt w:val="lowerLetter"/>
      <w:lvlText w:val="%2)"/>
      <w:lvlJc w:val="left"/>
      <w:pPr>
        <w:ind w:left="2100" w:hanging="420"/>
      </w:pPr>
      <w:rPr>
        <w:rFonts w:cs="Times New Roman"/>
      </w:rPr>
    </w:lvl>
    <w:lvl w:ilvl="2" w:tentative="0">
      <w:start w:val="1"/>
      <w:numFmt w:val="lowerRoman"/>
      <w:lvlText w:val="%3."/>
      <w:lvlJc w:val="right"/>
      <w:pPr>
        <w:ind w:left="2520" w:hanging="420"/>
      </w:pPr>
      <w:rPr>
        <w:rFonts w:cs="Times New Roman"/>
      </w:rPr>
    </w:lvl>
    <w:lvl w:ilvl="3" w:tentative="0">
      <w:start w:val="1"/>
      <w:numFmt w:val="decimal"/>
      <w:lvlText w:val="%4."/>
      <w:lvlJc w:val="left"/>
      <w:pPr>
        <w:ind w:left="2940" w:hanging="420"/>
      </w:pPr>
      <w:rPr>
        <w:rFonts w:cs="Times New Roman"/>
      </w:rPr>
    </w:lvl>
    <w:lvl w:ilvl="4" w:tentative="0">
      <w:start w:val="1"/>
      <w:numFmt w:val="lowerLetter"/>
      <w:lvlText w:val="%5)"/>
      <w:lvlJc w:val="left"/>
      <w:pPr>
        <w:ind w:left="3360" w:hanging="420"/>
      </w:pPr>
      <w:rPr>
        <w:rFonts w:cs="Times New Roman"/>
      </w:rPr>
    </w:lvl>
    <w:lvl w:ilvl="5" w:tentative="0">
      <w:start w:val="1"/>
      <w:numFmt w:val="lowerRoman"/>
      <w:lvlText w:val="%6."/>
      <w:lvlJc w:val="right"/>
      <w:pPr>
        <w:ind w:left="3780" w:hanging="420"/>
      </w:pPr>
      <w:rPr>
        <w:rFonts w:cs="Times New Roman"/>
      </w:rPr>
    </w:lvl>
    <w:lvl w:ilvl="6" w:tentative="0">
      <w:start w:val="1"/>
      <w:numFmt w:val="decimal"/>
      <w:lvlText w:val="%7."/>
      <w:lvlJc w:val="left"/>
      <w:pPr>
        <w:ind w:left="4200" w:hanging="420"/>
      </w:pPr>
      <w:rPr>
        <w:rFonts w:cs="Times New Roman"/>
      </w:rPr>
    </w:lvl>
    <w:lvl w:ilvl="7" w:tentative="0">
      <w:start w:val="1"/>
      <w:numFmt w:val="lowerLetter"/>
      <w:lvlText w:val="%8)"/>
      <w:lvlJc w:val="left"/>
      <w:pPr>
        <w:ind w:left="4620" w:hanging="420"/>
      </w:pPr>
      <w:rPr>
        <w:rFonts w:cs="Times New Roman"/>
      </w:rPr>
    </w:lvl>
    <w:lvl w:ilvl="8" w:tentative="0">
      <w:start w:val="1"/>
      <w:numFmt w:val="lowerRoman"/>
      <w:lvlText w:val="%9."/>
      <w:lvlJc w:val="right"/>
      <w:pPr>
        <w:ind w:left="5040" w:hanging="420"/>
      </w:pPr>
      <w:rPr>
        <w:rFonts w:cs="Times New Roman"/>
      </w:rPr>
    </w:lvl>
  </w:abstractNum>
  <w:abstractNum w:abstractNumId="3">
    <w:nsid w:val="649B635F"/>
    <w:multiLevelType w:val="multilevel"/>
    <w:tmpl w:val="649B635F"/>
    <w:lvl w:ilvl="0" w:tentative="0">
      <w:start w:val="1"/>
      <w:numFmt w:val="decimal"/>
      <w:lvlText w:val="(%1)"/>
      <w:lvlJc w:val="left"/>
      <w:pPr>
        <w:ind w:left="1630" w:hanging="370"/>
      </w:pPr>
      <w:rPr>
        <w:rFonts w:hint="default" w:cs="Times New Roman"/>
      </w:rPr>
    </w:lvl>
    <w:lvl w:ilvl="1" w:tentative="0">
      <w:start w:val="1"/>
      <w:numFmt w:val="lowerLetter"/>
      <w:lvlText w:val="%2)"/>
      <w:lvlJc w:val="left"/>
      <w:pPr>
        <w:ind w:left="2100" w:hanging="420"/>
      </w:pPr>
      <w:rPr>
        <w:rFonts w:cs="Times New Roman"/>
      </w:rPr>
    </w:lvl>
    <w:lvl w:ilvl="2" w:tentative="0">
      <w:start w:val="1"/>
      <w:numFmt w:val="lowerRoman"/>
      <w:lvlText w:val="%3."/>
      <w:lvlJc w:val="right"/>
      <w:pPr>
        <w:ind w:left="2520" w:hanging="420"/>
      </w:pPr>
      <w:rPr>
        <w:rFonts w:cs="Times New Roman"/>
      </w:rPr>
    </w:lvl>
    <w:lvl w:ilvl="3" w:tentative="0">
      <w:start w:val="1"/>
      <w:numFmt w:val="decimal"/>
      <w:lvlText w:val="%4."/>
      <w:lvlJc w:val="left"/>
      <w:pPr>
        <w:ind w:left="2940" w:hanging="420"/>
      </w:pPr>
      <w:rPr>
        <w:rFonts w:cs="Times New Roman"/>
      </w:rPr>
    </w:lvl>
    <w:lvl w:ilvl="4" w:tentative="0">
      <w:start w:val="1"/>
      <w:numFmt w:val="lowerLetter"/>
      <w:lvlText w:val="%5)"/>
      <w:lvlJc w:val="left"/>
      <w:pPr>
        <w:ind w:left="3360" w:hanging="420"/>
      </w:pPr>
      <w:rPr>
        <w:rFonts w:cs="Times New Roman"/>
      </w:rPr>
    </w:lvl>
    <w:lvl w:ilvl="5" w:tentative="0">
      <w:start w:val="1"/>
      <w:numFmt w:val="lowerRoman"/>
      <w:lvlText w:val="%6."/>
      <w:lvlJc w:val="right"/>
      <w:pPr>
        <w:ind w:left="3780" w:hanging="420"/>
      </w:pPr>
      <w:rPr>
        <w:rFonts w:cs="Times New Roman"/>
      </w:rPr>
    </w:lvl>
    <w:lvl w:ilvl="6" w:tentative="0">
      <w:start w:val="1"/>
      <w:numFmt w:val="decimal"/>
      <w:lvlText w:val="%7."/>
      <w:lvlJc w:val="left"/>
      <w:pPr>
        <w:ind w:left="4200" w:hanging="420"/>
      </w:pPr>
      <w:rPr>
        <w:rFonts w:cs="Times New Roman"/>
      </w:rPr>
    </w:lvl>
    <w:lvl w:ilvl="7" w:tentative="0">
      <w:start w:val="1"/>
      <w:numFmt w:val="lowerLetter"/>
      <w:lvlText w:val="%8)"/>
      <w:lvlJc w:val="left"/>
      <w:pPr>
        <w:ind w:left="4620" w:hanging="420"/>
      </w:pPr>
      <w:rPr>
        <w:rFonts w:cs="Times New Roman"/>
      </w:rPr>
    </w:lvl>
    <w:lvl w:ilvl="8" w:tentative="0">
      <w:start w:val="1"/>
      <w:numFmt w:val="lowerRoman"/>
      <w:lvlText w:val="%9."/>
      <w:lvlJc w:val="right"/>
      <w:pPr>
        <w:ind w:left="504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characterSpacingControl w:val="doNotCompress"/>
  <w:compat>
    <w:useFELayout/>
    <w:compatSetting w:name="compatibilityMode" w:uri="http://schemas.microsoft.com/office/word" w:val="12"/>
  </w:compat>
  <w:rsids>
    <w:rsidRoot w:val="00240618"/>
    <w:rsid w:val="000451AA"/>
    <w:rsid w:val="00095384"/>
    <w:rsid w:val="0009731C"/>
    <w:rsid w:val="000A006A"/>
    <w:rsid w:val="000C4051"/>
    <w:rsid w:val="000D12C0"/>
    <w:rsid w:val="000D7694"/>
    <w:rsid w:val="000E133F"/>
    <w:rsid w:val="000F225C"/>
    <w:rsid w:val="00111056"/>
    <w:rsid w:val="0011437B"/>
    <w:rsid w:val="001434EF"/>
    <w:rsid w:val="001712A0"/>
    <w:rsid w:val="00175947"/>
    <w:rsid w:val="001B274B"/>
    <w:rsid w:val="001B5B6C"/>
    <w:rsid w:val="001D4F67"/>
    <w:rsid w:val="001D66F0"/>
    <w:rsid w:val="001E2E6F"/>
    <w:rsid w:val="001E4F90"/>
    <w:rsid w:val="001F02B6"/>
    <w:rsid w:val="00200FDD"/>
    <w:rsid w:val="00201793"/>
    <w:rsid w:val="00240618"/>
    <w:rsid w:val="002453AF"/>
    <w:rsid w:val="00270470"/>
    <w:rsid w:val="00281FBC"/>
    <w:rsid w:val="002B21D3"/>
    <w:rsid w:val="002D01D4"/>
    <w:rsid w:val="00323D82"/>
    <w:rsid w:val="00324B6A"/>
    <w:rsid w:val="00346C5E"/>
    <w:rsid w:val="00364432"/>
    <w:rsid w:val="00372C13"/>
    <w:rsid w:val="00392853"/>
    <w:rsid w:val="003D7769"/>
    <w:rsid w:val="003E0350"/>
    <w:rsid w:val="0043073D"/>
    <w:rsid w:val="00461AD5"/>
    <w:rsid w:val="00470220"/>
    <w:rsid w:val="004823D5"/>
    <w:rsid w:val="004D4C36"/>
    <w:rsid w:val="004E1368"/>
    <w:rsid w:val="005154BD"/>
    <w:rsid w:val="005510D5"/>
    <w:rsid w:val="0057163D"/>
    <w:rsid w:val="005B3DF1"/>
    <w:rsid w:val="005E3F57"/>
    <w:rsid w:val="006010A8"/>
    <w:rsid w:val="00632E63"/>
    <w:rsid w:val="00635090"/>
    <w:rsid w:val="00677E2B"/>
    <w:rsid w:val="006C4666"/>
    <w:rsid w:val="006E2862"/>
    <w:rsid w:val="0071439E"/>
    <w:rsid w:val="00716BA8"/>
    <w:rsid w:val="00753FF8"/>
    <w:rsid w:val="00762D10"/>
    <w:rsid w:val="00784B0E"/>
    <w:rsid w:val="007942B9"/>
    <w:rsid w:val="007A1601"/>
    <w:rsid w:val="007F6127"/>
    <w:rsid w:val="0080586C"/>
    <w:rsid w:val="008061C6"/>
    <w:rsid w:val="008562D7"/>
    <w:rsid w:val="008626D1"/>
    <w:rsid w:val="008735EC"/>
    <w:rsid w:val="00887ADD"/>
    <w:rsid w:val="00894B86"/>
    <w:rsid w:val="008A405D"/>
    <w:rsid w:val="008C534B"/>
    <w:rsid w:val="008E19E7"/>
    <w:rsid w:val="008E4DE9"/>
    <w:rsid w:val="008F13EA"/>
    <w:rsid w:val="008F5E70"/>
    <w:rsid w:val="009147FF"/>
    <w:rsid w:val="0094330E"/>
    <w:rsid w:val="00952562"/>
    <w:rsid w:val="0095526C"/>
    <w:rsid w:val="00964DA0"/>
    <w:rsid w:val="009915E5"/>
    <w:rsid w:val="009921E9"/>
    <w:rsid w:val="00996A69"/>
    <w:rsid w:val="009D0317"/>
    <w:rsid w:val="009D3C78"/>
    <w:rsid w:val="009D74AF"/>
    <w:rsid w:val="009E390B"/>
    <w:rsid w:val="009F39ED"/>
    <w:rsid w:val="00A30948"/>
    <w:rsid w:val="00A33543"/>
    <w:rsid w:val="00A543AF"/>
    <w:rsid w:val="00AC4970"/>
    <w:rsid w:val="00AF0C32"/>
    <w:rsid w:val="00B03214"/>
    <w:rsid w:val="00B221EE"/>
    <w:rsid w:val="00B33C7D"/>
    <w:rsid w:val="00B46060"/>
    <w:rsid w:val="00B5036A"/>
    <w:rsid w:val="00B522D3"/>
    <w:rsid w:val="00B63ED8"/>
    <w:rsid w:val="00B863AC"/>
    <w:rsid w:val="00BA0FF4"/>
    <w:rsid w:val="00C433F4"/>
    <w:rsid w:val="00C53F36"/>
    <w:rsid w:val="00C5756B"/>
    <w:rsid w:val="00C91685"/>
    <w:rsid w:val="00CB1AE0"/>
    <w:rsid w:val="00CB4301"/>
    <w:rsid w:val="00CE66B7"/>
    <w:rsid w:val="00CF1904"/>
    <w:rsid w:val="00CF2045"/>
    <w:rsid w:val="00D66416"/>
    <w:rsid w:val="00DD36CA"/>
    <w:rsid w:val="00DF2242"/>
    <w:rsid w:val="00E0121D"/>
    <w:rsid w:val="00E0487A"/>
    <w:rsid w:val="00E13DED"/>
    <w:rsid w:val="00E412AA"/>
    <w:rsid w:val="00EA612A"/>
    <w:rsid w:val="00EC2C5E"/>
    <w:rsid w:val="00EE46C0"/>
    <w:rsid w:val="00EE540B"/>
    <w:rsid w:val="00EF41DD"/>
    <w:rsid w:val="00F0471C"/>
    <w:rsid w:val="00F40D94"/>
    <w:rsid w:val="00F472A1"/>
    <w:rsid w:val="00F54B44"/>
    <w:rsid w:val="00F56F57"/>
    <w:rsid w:val="00F57E2C"/>
    <w:rsid w:val="00F616C1"/>
    <w:rsid w:val="00F8201F"/>
    <w:rsid w:val="00FB1BE4"/>
    <w:rsid w:val="00FD7778"/>
    <w:rsid w:val="00FF4E62"/>
    <w:rsid w:val="11D38DA8"/>
    <w:rsid w:val="6B574668"/>
    <w:rsid w:val="6E07FBC2"/>
    <w:rsid w:val="76A60DCD"/>
    <w:rsid w:val="77BD534E"/>
    <w:rsid w:val="7BDBD6D4"/>
    <w:rsid w:val="EEFFF0F4"/>
    <w:rsid w:val="F7BEDDB9"/>
    <w:rsid w:val="FB7EEF89"/>
    <w:rsid w:val="FE46DA9F"/>
    <w:rsid w:val="FEF746B1"/>
    <w:rsid w:val="FFF7C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ascii="宋体" w:hAnsi="宋体" w:cs="宋体"/>
      <w:sz w:val="24"/>
      <w:szCs w:val="24"/>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styleId="11">
    <w:name w:val="List Paragraph"/>
    <w:basedOn w:val="1"/>
    <w:link w:val="12"/>
    <w:qFormat/>
    <w:uiPriority w:val="34"/>
    <w:pPr>
      <w:widowControl w:val="0"/>
      <w:ind w:firstLine="420" w:firstLineChars="200"/>
    </w:pPr>
    <w:rPr>
      <w:kern w:val="2"/>
    </w:rPr>
  </w:style>
  <w:style w:type="character" w:customStyle="1" w:styleId="12">
    <w:name w:val="列出段落 字符"/>
    <w:link w:val="11"/>
    <w:qFormat/>
    <w:uiPriority w:val="34"/>
    <w:rPr>
      <w:rFonts w:ascii="Calibri" w:hAnsi="Calibri" w:eastAsia="宋体" w:cs="Calibri"/>
      <w:szCs w:val="21"/>
    </w:rPr>
  </w:style>
  <w:style w:type="character" w:customStyle="1" w:styleId="13">
    <w:name w:val="页眉 字符"/>
    <w:basedOn w:val="9"/>
    <w:link w:val="5"/>
    <w:qFormat/>
    <w:uiPriority w:val="99"/>
    <w:rPr>
      <w:rFonts w:ascii="Calibri" w:hAnsi="Calibri" w:eastAsia="宋体" w:cs="Calibri"/>
      <w:kern w:val="0"/>
      <w:sz w:val="18"/>
      <w:szCs w:val="18"/>
    </w:rPr>
  </w:style>
  <w:style w:type="character" w:customStyle="1" w:styleId="14">
    <w:name w:val="页脚 字符"/>
    <w:basedOn w:val="9"/>
    <w:link w:val="4"/>
    <w:qFormat/>
    <w:uiPriority w:val="99"/>
    <w:rPr>
      <w:rFonts w:ascii="Calibri" w:hAnsi="Calibri" w:eastAsia="宋体" w:cs="Calibri"/>
      <w:kern w:val="0"/>
      <w:sz w:val="18"/>
      <w:szCs w:val="18"/>
    </w:rPr>
  </w:style>
  <w:style w:type="paragraph" w:customStyle="1" w:styleId="15">
    <w:name w:val="Revision"/>
    <w:hidden/>
    <w:semiHidden/>
    <w:qFormat/>
    <w:uiPriority w:val="99"/>
    <w:rPr>
      <w:rFonts w:ascii="Calibri" w:hAnsi="Calibri" w:eastAsia="宋体" w:cs="Calibri"/>
      <w:kern w:val="0"/>
      <w:sz w:val="21"/>
      <w:szCs w:val="21"/>
      <w:lang w:val="en-US" w:eastAsia="zh-CN" w:bidi="ar-SA"/>
    </w:rPr>
  </w:style>
  <w:style w:type="character" w:customStyle="1" w:styleId="16">
    <w:name w:val="批注文字 字符"/>
    <w:basedOn w:val="9"/>
    <w:link w:val="2"/>
    <w:qFormat/>
    <w:uiPriority w:val="99"/>
    <w:rPr>
      <w:rFonts w:ascii="Calibri" w:hAnsi="Calibri" w:eastAsia="宋体" w:cs="Calibri"/>
      <w:kern w:val="0"/>
      <w:szCs w:val="21"/>
    </w:rPr>
  </w:style>
  <w:style w:type="character" w:customStyle="1" w:styleId="17">
    <w:name w:val="批注主题 字符"/>
    <w:basedOn w:val="16"/>
    <w:link w:val="7"/>
    <w:semiHidden/>
    <w:qFormat/>
    <w:uiPriority w:val="99"/>
    <w:rPr>
      <w:rFonts w:ascii="Calibri" w:hAnsi="Calibri" w:eastAsia="宋体" w:cs="Calibri"/>
      <w:b/>
      <w:bCs/>
      <w:kern w:val="0"/>
      <w:szCs w:val="21"/>
    </w:rPr>
  </w:style>
  <w:style w:type="character" w:customStyle="1" w:styleId="18">
    <w:name w:val="批注框文本 字符"/>
    <w:basedOn w:val="9"/>
    <w:link w:val="3"/>
    <w:semiHidden/>
    <w:qFormat/>
    <w:uiPriority w:val="99"/>
    <w:rPr>
      <w:rFonts w:ascii="Calibri" w:hAnsi="Calibri" w:eastAsia="宋体" w:cs="Calibri"/>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16194</Words>
  <Characters>92309</Characters>
  <Lines>769</Lines>
  <Paragraphs>216</Paragraphs>
  <TotalTime>4</TotalTime>
  <ScaleCrop>false</ScaleCrop>
  <LinksUpToDate>false</LinksUpToDate>
  <CharactersWithSpaces>108287</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2022-11-29T17:12:00Z</dcterms:created>
  <dc:creator>Han Kun</dc:creator>
  <cp:lastModifiedBy>sunhuai</cp:lastModifiedBy>
  <dcterms:modified xsi:type="dcterms:W3CDTF">2022-12-06T10:55:53Z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